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E1C" w:rsidRDefault="00F670B5" w:rsidP="00F670B5">
      <w:pPr>
        <w:pStyle w:val="Title"/>
      </w:pPr>
      <w:bookmarkStart w:id="0" w:name="_GoBack"/>
      <w:bookmarkEnd w:id="0"/>
      <w:r>
        <w:t>MATH V23 LECTURE NOTES</w:t>
      </w:r>
      <w:r w:rsidR="00B472D0">
        <w:t xml:space="preserve"> (Bowen)</w:t>
      </w:r>
      <w:r>
        <w:br/>
      </w:r>
      <w:r w:rsidR="00547A21">
        <w:t>Section</w:t>
      </w:r>
      <w:r>
        <w:t xml:space="preserve"> </w:t>
      </w:r>
      <w:r w:rsidR="00EA0F53">
        <w:t>3</w:t>
      </w:r>
      <w:r>
        <w:t>.</w:t>
      </w:r>
      <w:r w:rsidR="00EA0F53">
        <w:t>1</w:t>
      </w:r>
      <w:r w:rsidR="00522B9B">
        <w:br/>
      </w:r>
      <w:r w:rsidR="00EA0F53">
        <w:t>Linear</w:t>
      </w:r>
      <w:r w:rsidR="008234FE">
        <w:t xml:space="preserve"> Models</w:t>
      </w:r>
    </w:p>
    <w:p w:rsidR="00EA0F53" w:rsidRPr="00EA0F53" w:rsidRDefault="00EA0F53" w:rsidP="00ED4B2C">
      <w:pPr>
        <w:rPr>
          <w:lang w:eastAsia="ja-JP"/>
        </w:rPr>
      </w:pPr>
      <w:r w:rsidRPr="00EA0F53">
        <w:rPr>
          <w:lang w:eastAsia="ja-JP"/>
        </w:rPr>
        <w:t xml:space="preserve">Now </w:t>
      </w:r>
      <w:r>
        <w:rPr>
          <w:lang w:eastAsia="ja-JP"/>
        </w:rPr>
        <w:t xml:space="preserve">that we have learned to solve several types of first-order ODEs, we may revisit several of the models developed in section </w:t>
      </w:r>
      <w:r w:rsidR="00357A75">
        <w:rPr>
          <w:lang w:eastAsia="ja-JP"/>
        </w:rPr>
        <w:t>1</w:t>
      </w:r>
      <w:r>
        <w:rPr>
          <w:lang w:eastAsia="ja-JP"/>
        </w:rPr>
        <w:t>.</w:t>
      </w:r>
      <w:r w:rsidR="00357A75">
        <w:rPr>
          <w:lang w:eastAsia="ja-JP"/>
        </w:rPr>
        <w:t>3</w:t>
      </w:r>
      <w:r>
        <w:rPr>
          <w:lang w:eastAsia="ja-JP"/>
        </w:rPr>
        <w:t>; this time we won’t just be setting up the equations, but solving them.</w:t>
      </w:r>
    </w:p>
    <w:p w:rsidR="002042EF" w:rsidRDefault="002042EF" w:rsidP="00ED4B2C">
      <w:pPr>
        <w:rPr>
          <w:lang w:eastAsia="ja-JP"/>
        </w:rPr>
      </w:pPr>
      <w:r>
        <w:rPr>
          <w:u w:val="single"/>
          <w:lang w:eastAsia="ja-JP"/>
        </w:rPr>
        <w:t>Growth and decay</w:t>
      </w:r>
      <w:r w:rsidR="007211EF">
        <w:rPr>
          <w:lang w:eastAsia="ja-JP"/>
        </w:rPr>
        <w:t>.</w:t>
      </w:r>
    </w:p>
    <w:p w:rsidR="00745CC8" w:rsidRDefault="00BF425B" w:rsidP="00CF5F19">
      <w:pPr>
        <w:pStyle w:val="CenteredEquation"/>
      </w:pPr>
      <w:r w:rsidRPr="00BF425B">
        <w:rPr>
          <w:position w:val="-24"/>
        </w:rPr>
        <w:object w:dxaOrig="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0.75pt" o:ole="">
            <v:imagedata r:id="rId7" o:title=""/>
          </v:shape>
          <o:OLEObject Type="Embed" ProgID="Equation.DSMT4" ShapeID="_x0000_i1025" DrawAspect="Content" ObjectID="_1580650425" r:id="rId8"/>
        </w:object>
      </w:r>
    </w:p>
    <w:p w:rsidR="00357A75" w:rsidRDefault="00357A75" w:rsidP="00745CC8">
      <w:r>
        <w:t>This is u</w:t>
      </w:r>
      <w:r w:rsidR="002042EF">
        <w:t>sed for population growth and radioactive dating</w:t>
      </w:r>
      <w:r>
        <w:t xml:space="preserve">, where </w:t>
      </w:r>
      <w:r w:rsidRPr="00357A75">
        <w:rPr>
          <w:i/>
        </w:rPr>
        <w:t>t</w:t>
      </w:r>
      <w:r>
        <w:t xml:space="preserve"> (time) is the independent variable, </w:t>
      </w:r>
      <w:r w:rsidRPr="00357A75">
        <w:rPr>
          <w:i/>
        </w:rPr>
        <w:t>P</w:t>
      </w:r>
      <w:r>
        <w:t xml:space="preserve"> (population or number of atoms or number of grams/kilograms/moles) is the dependent variable, and </w:t>
      </w:r>
      <w:r w:rsidRPr="00357A75">
        <w:rPr>
          <w:i/>
        </w:rPr>
        <w:t>k</w:t>
      </w:r>
      <w:r>
        <w:t xml:space="preserve"> is a positive constant (for growth) or a negative constant (for decay)</w:t>
      </w:r>
      <w:r w:rsidR="002042EF">
        <w:t>.</w:t>
      </w:r>
      <w:r>
        <w:t xml:space="preserve"> For radioactive decay, </w:t>
      </w:r>
      <w:r w:rsidRPr="00357A75">
        <w:rPr>
          <w:i/>
        </w:rPr>
        <w:t>k</w:t>
      </w:r>
      <w:r>
        <w:t xml:space="preserve"> is related to the half-life through the relationship </w:t>
      </w:r>
      <w:r w:rsidRPr="00357A75">
        <w:rPr>
          <w:position w:val="-32"/>
        </w:rPr>
        <w:object w:dxaOrig="1579" w:dyaOrig="700">
          <v:shape id="_x0000_i1026" type="#_x0000_t75" style="width:78.75pt;height:35.25pt" o:ole="">
            <v:imagedata r:id="rId9" o:title=""/>
          </v:shape>
          <o:OLEObject Type="Embed" ProgID="Equation.DSMT4" ShapeID="_x0000_i1026" DrawAspect="Content" ObjectID="_1580650426" r:id="rId10"/>
        </w:object>
      </w:r>
      <w:r>
        <w:t>.</w:t>
      </w:r>
    </w:p>
    <w:p w:rsidR="002042EF" w:rsidRDefault="00357A75" w:rsidP="00ED4B2C">
      <w:pPr>
        <w:rPr>
          <w:lang w:eastAsia="ja-JP"/>
        </w:rPr>
      </w:pPr>
      <w:r>
        <w:rPr>
          <w:lang w:eastAsia="ja-JP"/>
        </w:rPr>
        <w:t>Solution method: Separable equation.</w:t>
      </w:r>
    </w:p>
    <w:p w:rsidR="002042EF" w:rsidRDefault="002042EF" w:rsidP="00ED4B2C">
      <w:pPr>
        <w:rPr>
          <w:lang w:eastAsia="ja-JP"/>
        </w:rPr>
      </w:pPr>
      <w:r>
        <w:rPr>
          <w:u w:val="single"/>
          <w:lang w:eastAsia="ja-JP"/>
        </w:rPr>
        <w:t>Newton’s law of cooling</w:t>
      </w:r>
      <w:r w:rsidR="000E1A25">
        <w:rPr>
          <w:lang w:eastAsia="ja-JP"/>
        </w:rPr>
        <w:t>.</w:t>
      </w:r>
    </w:p>
    <w:p w:rsidR="00745CC8" w:rsidRPr="00357A75" w:rsidRDefault="00BF425B" w:rsidP="00CF5F19">
      <w:pPr>
        <w:pStyle w:val="CenteredEquation"/>
      </w:pPr>
      <w:r w:rsidRPr="00BF425B">
        <w:rPr>
          <w:position w:val="-24"/>
        </w:rPr>
        <w:object w:dxaOrig="1579" w:dyaOrig="620">
          <v:shape id="_x0000_i1027" type="#_x0000_t75" style="width:78.75pt;height:30.75pt" o:ole="">
            <v:imagedata r:id="rId11" o:title=""/>
          </v:shape>
          <o:OLEObject Type="Embed" ProgID="Equation.DSMT4" ShapeID="_x0000_i1027" DrawAspect="Content" ObjectID="_1580650427" r:id="rId12"/>
        </w:object>
      </w:r>
    </w:p>
    <w:p w:rsidR="00357A75" w:rsidRDefault="00357A75" w:rsidP="00357A75">
      <w:pPr>
        <w:rPr>
          <w:lang w:eastAsia="ja-JP"/>
        </w:rPr>
      </w:pPr>
      <w:r>
        <w:rPr>
          <w:lang w:eastAsia="ja-JP"/>
        </w:rPr>
        <w:t xml:space="preserve">This is used for warming and cooling problems, where </w:t>
      </w:r>
      <w:r w:rsidRPr="00357A75">
        <w:rPr>
          <w:i/>
          <w:lang w:eastAsia="ja-JP"/>
        </w:rPr>
        <w:t>t</w:t>
      </w:r>
      <w:r>
        <w:rPr>
          <w:lang w:eastAsia="ja-JP"/>
        </w:rPr>
        <w:t xml:space="preserve"> (time) is the independent variable, </w:t>
      </w:r>
      <w:r>
        <w:rPr>
          <w:i/>
          <w:lang w:eastAsia="ja-JP"/>
        </w:rPr>
        <w:t>T</w:t>
      </w:r>
      <w:r>
        <w:rPr>
          <w:lang w:eastAsia="ja-JP"/>
        </w:rPr>
        <w:t xml:space="preserve"> (temperature of the cooling or warming object, in kelvins/degrees C/degrees F) is the dependent variable, </w:t>
      </w:r>
      <w:r w:rsidRPr="00357A75">
        <w:rPr>
          <w:i/>
          <w:lang w:eastAsia="ja-JP"/>
        </w:rPr>
        <w:t>T</w:t>
      </w:r>
      <w:r w:rsidRPr="00357A75">
        <w:rPr>
          <w:i/>
          <w:vertAlign w:val="subscript"/>
          <w:lang w:eastAsia="ja-JP"/>
        </w:rPr>
        <w:t>m</w:t>
      </w:r>
      <w:r>
        <w:rPr>
          <w:lang w:eastAsia="ja-JP"/>
        </w:rPr>
        <w:t xml:space="preserve"> is the temperature of the environment (may be constant or a function of time, measured in the same units as </w:t>
      </w:r>
      <w:r w:rsidRPr="00357A75">
        <w:rPr>
          <w:i/>
          <w:lang w:eastAsia="ja-JP"/>
        </w:rPr>
        <w:t>T</w:t>
      </w:r>
      <w:r>
        <w:rPr>
          <w:lang w:eastAsia="ja-JP"/>
        </w:rPr>
        <w:t xml:space="preserve">), and </w:t>
      </w:r>
      <w:r w:rsidRPr="00357A75">
        <w:rPr>
          <w:i/>
          <w:lang w:eastAsia="ja-JP"/>
        </w:rPr>
        <w:t>k</w:t>
      </w:r>
      <w:r>
        <w:rPr>
          <w:lang w:eastAsia="ja-JP"/>
        </w:rPr>
        <w:t xml:space="preserve"> is a positive constant (for a cold object warming up) or a negative constant (for a hot object cooling down).</w:t>
      </w:r>
    </w:p>
    <w:p w:rsidR="00357A75" w:rsidRDefault="00357A75" w:rsidP="00357A75">
      <w:pPr>
        <w:rPr>
          <w:lang w:eastAsia="ja-JP"/>
        </w:rPr>
      </w:pPr>
      <w:r>
        <w:rPr>
          <w:lang w:eastAsia="ja-JP"/>
        </w:rPr>
        <w:t>Solution method: Separable equation.</w:t>
      </w:r>
    </w:p>
    <w:p w:rsidR="00785E22" w:rsidRDefault="00785E22" w:rsidP="00ED4B2C">
      <w:pPr>
        <w:rPr>
          <w:lang w:eastAsia="ja-JP"/>
        </w:rPr>
      </w:pPr>
      <w:r w:rsidRPr="00785E22">
        <w:rPr>
          <w:i/>
          <w:u w:val="single"/>
          <w:lang w:eastAsia="ja-JP"/>
        </w:rPr>
        <w:t>LR</w:t>
      </w:r>
      <w:r>
        <w:rPr>
          <w:u w:val="single"/>
          <w:lang w:eastAsia="ja-JP"/>
        </w:rPr>
        <w:t>-series circuit</w:t>
      </w:r>
      <w:r>
        <w:rPr>
          <w:lang w:eastAsia="ja-JP"/>
        </w:rPr>
        <w:t>.</w:t>
      </w:r>
    </w:p>
    <w:p w:rsidR="006B19BE" w:rsidRPr="00357A75" w:rsidRDefault="00BF425B" w:rsidP="00CF5F19">
      <w:pPr>
        <w:pStyle w:val="CenteredEquation"/>
      </w:pPr>
      <w:r w:rsidRPr="00BF425B">
        <w:rPr>
          <w:position w:val="-24"/>
        </w:rPr>
        <w:object w:dxaOrig="1640" w:dyaOrig="620">
          <v:shape id="_x0000_i1028" type="#_x0000_t75" style="width:81.75pt;height:30.75pt" o:ole="">
            <v:imagedata r:id="rId13" o:title=""/>
          </v:shape>
          <o:OLEObject Type="Embed" ProgID="Equation.DSMT4" ShapeID="_x0000_i1028" DrawAspect="Content" ObjectID="_1580650428" r:id="rId14"/>
        </w:object>
      </w:r>
    </w:p>
    <w:p w:rsidR="00B92854" w:rsidRDefault="00B92854" w:rsidP="00B92854">
      <w:pPr>
        <w:rPr>
          <w:lang w:eastAsia="ja-JP"/>
        </w:rPr>
      </w:pPr>
      <w:r>
        <w:rPr>
          <w:lang w:eastAsia="ja-JP"/>
        </w:rPr>
        <w:t xml:space="preserve">This is used for a single-loop circuit containing an inductor </w:t>
      </w:r>
      <w:r w:rsidRPr="00B92854">
        <w:rPr>
          <w:i/>
          <w:lang w:eastAsia="ja-JP"/>
        </w:rPr>
        <w:t>L</w:t>
      </w:r>
      <w:r>
        <w:rPr>
          <w:lang w:eastAsia="ja-JP"/>
        </w:rPr>
        <w:t xml:space="preserve"> (in henrys), resistor </w:t>
      </w:r>
      <w:r w:rsidRPr="00B92854">
        <w:rPr>
          <w:i/>
          <w:lang w:eastAsia="ja-JP"/>
        </w:rPr>
        <w:t>R</w:t>
      </w:r>
      <w:r w:rsidR="00A7074F">
        <w:rPr>
          <w:lang w:eastAsia="ja-JP"/>
        </w:rPr>
        <w:t xml:space="preserve"> (in ohms), and power supply</w:t>
      </w:r>
      <w:r>
        <w:rPr>
          <w:lang w:eastAsia="ja-JP"/>
        </w:rPr>
        <w:t xml:space="preserve"> EMF (not electric field)</w:t>
      </w:r>
      <w:r w:rsidR="00A7074F">
        <w:rPr>
          <w:lang w:eastAsia="ja-JP"/>
        </w:rPr>
        <w:t>, or input</w:t>
      </w:r>
      <w:r>
        <w:rPr>
          <w:lang w:eastAsia="ja-JP"/>
        </w:rPr>
        <w:t xml:space="preserve"> </w:t>
      </w:r>
      <w:r w:rsidRPr="00B92854">
        <w:rPr>
          <w:position w:val="-14"/>
          <w:lang w:eastAsia="ja-JP"/>
        </w:rPr>
        <w:object w:dxaOrig="540" w:dyaOrig="400">
          <v:shape id="_x0000_i1029" type="#_x0000_t75" style="width:27pt;height:20.25pt" o:ole="">
            <v:imagedata r:id="rId15" o:title=""/>
          </v:shape>
          <o:OLEObject Type="Embed" ProgID="Equation.DSMT4" ShapeID="_x0000_i1029" DrawAspect="Content" ObjectID="_1580650429" r:id="rId16"/>
        </w:object>
      </w:r>
      <w:r>
        <w:rPr>
          <w:lang w:eastAsia="ja-JP"/>
        </w:rPr>
        <w:t xml:space="preserve"> (in volts); and for which </w:t>
      </w:r>
      <w:r w:rsidRPr="00357A75">
        <w:rPr>
          <w:i/>
          <w:lang w:eastAsia="ja-JP"/>
        </w:rPr>
        <w:t>t</w:t>
      </w:r>
      <w:r>
        <w:rPr>
          <w:lang w:eastAsia="ja-JP"/>
        </w:rPr>
        <w:t xml:space="preserve"> (time, usually in seconds) is the independent variable, and electric current </w:t>
      </w:r>
      <w:proofErr w:type="spellStart"/>
      <w:r w:rsidRPr="00B92854">
        <w:rPr>
          <w:i/>
          <w:lang w:eastAsia="ja-JP"/>
        </w:rPr>
        <w:t>i</w:t>
      </w:r>
      <w:proofErr w:type="spellEnd"/>
      <w:r>
        <w:rPr>
          <w:lang w:eastAsia="ja-JP"/>
        </w:rPr>
        <w:t xml:space="preserve"> (usually in amperes) is the </w:t>
      </w:r>
      <w:r>
        <w:rPr>
          <w:lang w:eastAsia="ja-JP"/>
        </w:rPr>
        <w:lastRenderedPageBreak/>
        <w:t xml:space="preserve">dependent variable. For a DC circuit (the simplest to solve), </w:t>
      </w:r>
      <w:r w:rsidRPr="00B92854">
        <w:rPr>
          <w:position w:val="-14"/>
          <w:lang w:eastAsia="ja-JP"/>
        </w:rPr>
        <w:object w:dxaOrig="540" w:dyaOrig="400">
          <v:shape id="_x0000_i1030" type="#_x0000_t75" style="width:27pt;height:20.25pt" o:ole="">
            <v:imagedata r:id="rId15" o:title=""/>
          </v:shape>
          <o:OLEObject Type="Embed" ProgID="Equation.DSMT4" ShapeID="_x0000_i1030" DrawAspect="Content" ObjectID="_1580650430" r:id="rId17"/>
        </w:object>
      </w:r>
      <w:r>
        <w:rPr>
          <w:lang w:eastAsia="ja-JP"/>
        </w:rPr>
        <w:t xml:space="preserve"> is a constant</w:t>
      </w:r>
      <w:r w:rsidR="006B19BE">
        <w:rPr>
          <w:lang w:eastAsia="ja-JP"/>
        </w:rPr>
        <w:t xml:space="preserve"> for all values of </w:t>
      </w:r>
      <w:r w:rsidR="006B19BE" w:rsidRPr="006B19BE">
        <w:rPr>
          <w:i/>
          <w:lang w:eastAsia="ja-JP"/>
        </w:rPr>
        <w:t>t</w:t>
      </w:r>
      <w:r>
        <w:rPr>
          <w:lang w:eastAsia="ja-JP"/>
        </w:rPr>
        <w:t>. A variation on the DC circuit is the step function</w:t>
      </w:r>
    </w:p>
    <w:p w:rsidR="00B92854" w:rsidRPr="006B19BE" w:rsidRDefault="00A7074F" w:rsidP="00CF5F19">
      <w:pPr>
        <w:pStyle w:val="CenteredEquation"/>
      </w:pPr>
      <w:r w:rsidRPr="00A84C08">
        <w:rPr>
          <w:position w:val="-30"/>
        </w:rPr>
        <w:object w:dxaOrig="1900" w:dyaOrig="720">
          <v:shape id="_x0000_i1031" type="#_x0000_t75" style="width:94.5pt;height:36.75pt" o:ole="">
            <v:imagedata r:id="rId18" o:title=""/>
          </v:shape>
          <o:OLEObject Type="Embed" ProgID="Equation.DSMT4" ShapeID="_x0000_i1031" DrawAspect="Content" ObjectID="_1580650431" r:id="rId19"/>
        </w:object>
      </w:r>
    </w:p>
    <w:p w:rsidR="00A46643" w:rsidRDefault="006B19BE" w:rsidP="00ED4B2C">
      <w:pPr>
        <w:rPr>
          <w:lang w:eastAsia="ja-JP"/>
        </w:rPr>
      </w:pPr>
      <w:r>
        <w:rPr>
          <w:lang w:eastAsia="ja-JP"/>
        </w:rPr>
        <w:t xml:space="preserve">where </w:t>
      </w:r>
      <w:r w:rsidRPr="006B19BE">
        <w:rPr>
          <w:position w:val="-4"/>
        </w:rPr>
        <w:object w:dxaOrig="220" w:dyaOrig="260">
          <v:shape id="_x0000_i1032" type="#_x0000_t75" style="width:11.25pt;height:12.75pt" o:ole="">
            <v:imagedata r:id="rId20" o:title=""/>
          </v:shape>
          <o:OLEObject Type="Embed" ProgID="Equation.DSMT4" ShapeID="_x0000_i1032" DrawAspect="Content" ObjectID="_1580650432" r:id="rId21"/>
        </w:object>
      </w:r>
      <w:r>
        <w:t xml:space="preserve"> is a constant</w:t>
      </w:r>
      <w:r w:rsidR="00A7074F">
        <w:t xml:space="preserve">. </w:t>
      </w:r>
      <w:r w:rsidRPr="006B19BE">
        <w:rPr>
          <w:lang w:eastAsia="ja-JP"/>
        </w:rPr>
        <w:t xml:space="preserve">which </w:t>
      </w:r>
      <w:r>
        <w:rPr>
          <w:lang w:eastAsia="ja-JP"/>
        </w:rPr>
        <w:t xml:space="preserve">can (after being inserted into the differential equation above) model the behavior of a DC circuit as it is turned from the “off” state to the “on” state at time </w:t>
      </w:r>
      <w:r w:rsidRPr="006B19BE">
        <w:rPr>
          <w:position w:val="-6"/>
          <w:lang w:eastAsia="ja-JP"/>
        </w:rPr>
        <w:object w:dxaOrig="499" w:dyaOrig="279">
          <v:shape id="_x0000_i1033" type="#_x0000_t75" style="width:24.75pt;height:14.25pt" o:ole="">
            <v:imagedata r:id="rId22" o:title=""/>
          </v:shape>
          <o:OLEObject Type="Embed" ProgID="Equation.DSMT4" ShapeID="_x0000_i1033" DrawAspect="Content" ObjectID="_1580650433" r:id="rId23"/>
        </w:object>
      </w:r>
      <w:r>
        <w:rPr>
          <w:lang w:eastAsia="ja-JP"/>
        </w:rPr>
        <w:t>. Circuits containing nonlinear elements such as inductors or capacitors often exhibit short-term behavior (the “transient response”) which differs significantly from the long-term behavior (the “asymptotic response”</w:t>
      </w:r>
      <w:r w:rsidR="00A46643">
        <w:rPr>
          <w:lang w:eastAsia="ja-JP"/>
        </w:rPr>
        <w:t xml:space="preserve"> or the “steady-state response”</w:t>
      </w:r>
      <w:r>
        <w:rPr>
          <w:lang w:eastAsia="ja-JP"/>
        </w:rPr>
        <w:t xml:space="preserve">). The transient response typically manifests itself when the input state </w:t>
      </w:r>
      <w:r w:rsidRPr="00B92854">
        <w:rPr>
          <w:position w:val="-14"/>
          <w:lang w:eastAsia="ja-JP"/>
        </w:rPr>
        <w:object w:dxaOrig="540" w:dyaOrig="400">
          <v:shape id="_x0000_i1034" type="#_x0000_t75" style="width:27pt;height:20.25pt" o:ole="">
            <v:imagedata r:id="rId15" o:title=""/>
          </v:shape>
          <o:OLEObject Type="Embed" ProgID="Equation.DSMT4" ShapeID="_x0000_i1034" DrawAspect="Content" ObjectID="_1580650434" r:id="rId24"/>
        </w:object>
      </w:r>
      <w:r>
        <w:rPr>
          <w:lang w:eastAsia="ja-JP"/>
        </w:rPr>
        <w:t xml:space="preserve"> experiences a sudden change, such as turning the power off or on, and then quickly approaches zero after a fraction of a second, leaving only the asymptotic response to dominate</w:t>
      </w:r>
      <w:r w:rsidR="00A07FC1">
        <w:rPr>
          <w:lang w:eastAsia="ja-JP"/>
        </w:rPr>
        <w:t xml:space="preserve"> </w:t>
      </w:r>
      <w:r w:rsidR="00A7074F">
        <w:rPr>
          <w:lang w:eastAsia="ja-JP"/>
        </w:rPr>
        <w:t xml:space="preserve">the response function </w:t>
      </w:r>
      <w:r w:rsidR="00A7074F" w:rsidRPr="00B92854">
        <w:rPr>
          <w:position w:val="-14"/>
          <w:lang w:eastAsia="ja-JP"/>
        </w:rPr>
        <w:object w:dxaOrig="440" w:dyaOrig="400">
          <v:shape id="_x0000_i1035" type="#_x0000_t75" style="width:21.75pt;height:20.25pt" o:ole="">
            <v:imagedata r:id="rId25" o:title=""/>
          </v:shape>
          <o:OLEObject Type="Embed" ProgID="Equation.DSMT4" ShapeID="_x0000_i1035" DrawAspect="Content" ObjectID="_1580650435" r:id="rId26"/>
        </w:object>
      </w:r>
      <w:r w:rsidR="00A07FC1">
        <w:rPr>
          <w:lang w:eastAsia="ja-JP"/>
        </w:rPr>
        <w:t xml:space="preserve">for large values of </w:t>
      </w:r>
      <w:r w:rsidR="00A07FC1" w:rsidRPr="00A07FC1">
        <w:rPr>
          <w:i/>
          <w:lang w:eastAsia="ja-JP"/>
        </w:rPr>
        <w:t>t</w:t>
      </w:r>
      <w:r>
        <w:rPr>
          <w:lang w:eastAsia="ja-JP"/>
        </w:rPr>
        <w:t>.</w:t>
      </w:r>
    </w:p>
    <w:p w:rsidR="00B92854" w:rsidRDefault="00A7074F" w:rsidP="00ED4B2C">
      <w:pPr>
        <w:rPr>
          <w:lang w:eastAsia="ja-JP"/>
        </w:rPr>
      </w:pPr>
      <w:r>
        <w:rPr>
          <w:lang w:eastAsia="ja-JP"/>
        </w:rPr>
        <w:t xml:space="preserve">If the input is sinusoidal (AC source), then the asymptotic response is also sinusoidal, </w:t>
      </w:r>
      <w:r w:rsidR="00D3356A">
        <w:rPr>
          <w:lang w:eastAsia="ja-JP"/>
        </w:rPr>
        <w:t xml:space="preserve">oscillating at the same frequency as the input, </w:t>
      </w:r>
      <w:r>
        <w:rPr>
          <w:lang w:eastAsia="ja-JP"/>
        </w:rPr>
        <w:t xml:space="preserve">but is generally not in phase with the input (the </w:t>
      </w:r>
      <w:r w:rsidR="00A46643">
        <w:rPr>
          <w:lang w:eastAsia="ja-JP"/>
        </w:rPr>
        <w:t xml:space="preserve">input EMF reaches its cyclic peaks a fraction of a </w:t>
      </w:r>
      <w:r w:rsidR="00D5674D">
        <w:rPr>
          <w:lang w:eastAsia="ja-JP"/>
        </w:rPr>
        <w:t>period</w:t>
      </w:r>
      <w:r w:rsidR="00A46643">
        <w:rPr>
          <w:lang w:eastAsia="ja-JP"/>
        </w:rPr>
        <w:t xml:space="preserve"> before the response current</w:t>
      </w:r>
      <w:r w:rsidR="00D5674D">
        <w:rPr>
          <w:lang w:eastAsia="ja-JP"/>
        </w:rPr>
        <w:t>; this phase difference is greatest at high frequencies</w:t>
      </w:r>
      <w:r w:rsidR="00A46643">
        <w:rPr>
          <w:lang w:eastAsia="ja-JP"/>
        </w:rPr>
        <w:t xml:space="preserve">), as can be determined by solving the differential equation for </w:t>
      </w:r>
      <w:r w:rsidR="00A46643" w:rsidRPr="00A46643">
        <w:rPr>
          <w:position w:val="-14"/>
          <w:lang w:eastAsia="ja-JP"/>
        </w:rPr>
        <w:object w:dxaOrig="440" w:dyaOrig="400">
          <v:shape id="_x0000_i1036" type="#_x0000_t75" style="width:21.75pt;height:20.25pt" o:ole="">
            <v:imagedata r:id="rId27" o:title=""/>
          </v:shape>
          <o:OLEObject Type="Embed" ProgID="Equation.DSMT4" ShapeID="_x0000_i1036" DrawAspect="Content" ObjectID="_1580650436" r:id="rId28"/>
        </w:object>
      </w:r>
      <w:r w:rsidR="00A46643">
        <w:rPr>
          <w:lang w:eastAsia="ja-JP"/>
        </w:rPr>
        <w:t xml:space="preserve">. The amplitude of the response depends on the interaction between </w:t>
      </w:r>
      <w:r w:rsidR="00A46643" w:rsidRPr="00A46643">
        <w:rPr>
          <w:i/>
          <w:lang w:eastAsia="ja-JP"/>
        </w:rPr>
        <w:t>L</w:t>
      </w:r>
      <w:r w:rsidR="00A46643">
        <w:rPr>
          <w:lang w:eastAsia="ja-JP"/>
        </w:rPr>
        <w:t xml:space="preserve">, </w:t>
      </w:r>
      <w:r w:rsidR="00A46643" w:rsidRPr="00A46643">
        <w:rPr>
          <w:i/>
          <w:lang w:eastAsia="ja-JP"/>
        </w:rPr>
        <w:t>R</w:t>
      </w:r>
      <w:r w:rsidR="00A46643">
        <w:rPr>
          <w:lang w:eastAsia="ja-JP"/>
        </w:rPr>
        <w:t xml:space="preserve">, and the input frequency; for fixed values of </w:t>
      </w:r>
      <w:r w:rsidR="00A46643" w:rsidRPr="00A46643">
        <w:rPr>
          <w:i/>
          <w:lang w:eastAsia="ja-JP"/>
        </w:rPr>
        <w:t>L</w:t>
      </w:r>
      <w:r w:rsidR="00A46643">
        <w:rPr>
          <w:lang w:eastAsia="ja-JP"/>
        </w:rPr>
        <w:t xml:space="preserve">, </w:t>
      </w:r>
      <w:r w:rsidR="00A46643" w:rsidRPr="00A46643">
        <w:rPr>
          <w:i/>
          <w:lang w:eastAsia="ja-JP"/>
        </w:rPr>
        <w:t>R</w:t>
      </w:r>
      <w:r w:rsidR="00A46643">
        <w:rPr>
          <w:lang w:eastAsia="ja-JP"/>
        </w:rPr>
        <w:t xml:space="preserve">, and the input amplitude, solving the differential equation demonstrates that the response (current) is lower at high frequencies, and higher at low frequencies. For this reason, </w:t>
      </w:r>
      <w:r w:rsidR="00A46643" w:rsidRPr="00A46643">
        <w:rPr>
          <w:i/>
          <w:lang w:eastAsia="ja-JP"/>
        </w:rPr>
        <w:t>LR</w:t>
      </w:r>
      <w:r w:rsidR="00A46643">
        <w:rPr>
          <w:lang w:eastAsia="ja-JP"/>
        </w:rPr>
        <w:t xml:space="preserve">-series circuits are sometimes called “low-pass filters.” </w:t>
      </w:r>
      <w:r w:rsidR="00D5674D">
        <w:rPr>
          <w:lang w:eastAsia="ja-JP"/>
        </w:rPr>
        <w:t xml:space="preserve">In the limit as frequency approaches zero, the inductor has minimal effect on the circuit behavior, and the circuit may be modeled as though only a resistor were present. </w:t>
      </w:r>
      <w:r w:rsidR="00A46643">
        <w:rPr>
          <w:lang w:eastAsia="ja-JP"/>
        </w:rPr>
        <w:t xml:space="preserve">The transient response, although short-lived, can </w:t>
      </w:r>
      <w:r w:rsidR="00BF425B">
        <w:rPr>
          <w:lang w:eastAsia="ja-JP"/>
        </w:rPr>
        <w:t xml:space="preserve">briefly </w:t>
      </w:r>
      <w:r w:rsidR="00A46643">
        <w:rPr>
          <w:lang w:eastAsia="ja-JP"/>
        </w:rPr>
        <w:t>produce currents many times higher than the steady-state response; in an unprotected circuit, the transients can shorten the lives of circuit components, and even burn them</w:t>
      </w:r>
      <w:r w:rsidR="00BF425B">
        <w:rPr>
          <w:lang w:eastAsia="ja-JP"/>
        </w:rPr>
        <w:t xml:space="preserve"> out in a single incident.</w:t>
      </w:r>
    </w:p>
    <w:p w:rsidR="00A80F43" w:rsidRDefault="00A80F43" w:rsidP="00ED4B2C">
      <w:pPr>
        <w:rPr>
          <w:lang w:eastAsia="ja-JP"/>
        </w:rPr>
      </w:pPr>
      <w:r>
        <w:rPr>
          <w:lang w:eastAsia="ja-JP"/>
        </w:rPr>
        <w:t xml:space="preserve">In many cases, </w:t>
      </w:r>
      <w:r w:rsidRPr="00A80F43">
        <w:rPr>
          <w:i/>
          <w:lang w:eastAsia="ja-JP"/>
        </w:rPr>
        <w:t>L</w:t>
      </w:r>
      <w:r>
        <w:rPr>
          <w:lang w:eastAsia="ja-JP"/>
        </w:rPr>
        <w:t xml:space="preserve"> and </w:t>
      </w:r>
      <w:r w:rsidRPr="00A80F43">
        <w:rPr>
          <w:i/>
          <w:lang w:eastAsia="ja-JP"/>
        </w:rPr>
        <w:t>R</w:t>
      </w:r>
      <w:r>
        <w:rPr>
          <w:lang w:eastAsia="ja-JP"/>
        </w:rPr>
        <w:t xml:space="preserve"> may be considered constant; however, there is at least one homework problem in which </w:t>
      </w:r>
      <w:r w:rsidRPr="00A80F43">
        <w:rPr>
          <w:i/>
          <w:lang w:eastAsia="ja-JP"/>
        </w:rPr>
        <w:t>L</w:t>
      </w:r>
      <w:r>
        <w:rPr>
          <w:lang w:eastAsia="ja-JP"/>
        </w:rPr>
        <w:t xml:space="preserve"> is treated as a varying function of time. It is perhaps not surprising that time-varying values of </w:t>
      </w:r>
      <w:r w:rsidRPr="00A80F43">
        <w:rPr>
          <w:i/>
          <w:lang w:eastAsia="ja-JP"/>
        </w:rPr>
        <w:t>L</w:t>
      </w:r>
      <w:r>
        <w:rPr>
          <w:lang w:eastAsia="ja-JP"/>
        </w:rPr>
        <w:t xml:space="preserve"> or </w:t>
      </w:r>
      <w:r w:rsidRPr="00A80F43">
        <w:rPr>
          <w:i/>
          <w:lang w:eastAsia="ja-JP"/>
        </w:rPr>
        <w:t>R</w:t>
      </w:r>
      <w:r>
        <w:rPr>
          <w:lang w:eastAsia="ja-JP"/>
        </w:rPr>
        <w:t xml:space="preserve"> typically complicate the solution of the model differential equation.</w:t>
      </w:r>
    </w:p>
    <w:p w:rsidR="00BF425B" w:rsidRPr="006B19BE" w:rsidRDefault="00BF425B" w:rsidP="00ED4B2C">
      <w:pPr>
        <w:rPr>
          <w:lang w:eastAsia="ja-JP"/>
        </w:rPr>
      </w:pPr>
      <w:r>
        <w:rPr>
          <w:lang w:eastAsia="ja-JP"/>
        </w:rPr>
        <w:t>Solution method: Integrating factor (DC circuits); more advanced methods not yet covered (AC circuits).</w:t>
      </w:r>
    </w:p>
    <w:p w:rsidR="00E32C69" w:rsidRDefault="00E32C69" w:rsidP="00CF5F19">
      <w:pPr>
        <w:keepNext/>
        <w:rPr>
          <w:u w:val="single"/>
          <w:lang w:eastAsia="ja-JP"/>
        </w:rPr>
      </w:pPr>
      <w:r w:rsidRPr="00357A75">
        <w:rPr>
          <w:i/>
          <w:u w:val="single"/>
          <w:lang w:eastAsia="ja-JP"/>
        </w:rPr>
        <w:lastRenderedPageBreak/>
        <w:t>RC</w:t>
      </w:r>
      <w:r>
        <w:rPr>
          <w:u w:val="single"/>
          <w:lang w:eastAsia="ja-JP"/>
        </w:rPr>
        <w:t>-series circuit.</w:t>
      </w:r>
    </w:p>
    <w:p w:rsidR="00A7074F" w:rsidRDefault="00BF425B" w:rsidP="00CF5F19">
      <w:pPr>
        <w:pStyle w:val="CenteredEquation"/>
      </w:pPr>
      <w:r w:rsidRPr="00BF425B">
        <w:rPr>
          <w:position w:val="-24"/>
        </w:rPr>
        <w:object w:dxaOrig="1820" w:dyaOrig="620">
          <v:shape id="_x0000_i1037" type="#_x0000_t75" style="width:90.75pt;height:30.75pt" o:ole="">
            <v:imagedata r:id="rId29" o:title=""/>
          </v:shape>
          <o:OLEObject Type="Embed" ProgID="Equation.DSMT4" ShapeID="_x0000_i1037" DrawAspect="Content" ObjectID="_1580650437" r:id="rId30"/>
        </w:object>
      </w:r>
    </w:p>
    <w:p w:rsidR="00BF425B" w:rsidRDefault="006D5BF5" w:rsidP="00BF425B">
      <w:pPr>
        <w:rPr>
          <w:lang w:eastAsia="ja-JP"/>
        </w:rPr>
      </w:pPr>
      <w:r>
        <w:rPr>
          <w:lang w:eastAsia="ja-JP"/>
        </w:rPr>
        <w:t xml:space="preserve">This is used for a single-loop circuit containing a capacitor </w:t>
      </w:r>
      <w:r>
        <w:rPr>
          <w:i/>
          <w:lang w:eastAsia="ja-JP"/>
        </w:rPr>
        <w:t>C</w:t>
      </w:r>
      <w:r>
        <w:rPr>
          <w:lang w:eastAsia="ja-JP"/>
        </w:rPr>
        <w:t xml:space="preserve"> (in farads), resistor </w:t>
      </w:r>
      <w:r w:rsidRPr="00B92854">
        <w:rPr>
          <w:i/>
          <w:lang w:eastAsia="ja-JP"/>
        </w:rPr>
        <w:t>R</w:t>
      </w:r>
      <w:r>
        <w:rPr>
          <w:lang w:eastAsia="ja-JP"/>
        </w:rPr>
        <w:t xml:space="preserve"> (in ohms), and power supply EMF, or input </w:t>
      </w:r>
      <w:r w:rsidRPr="00B92854">
        <w:rPr>
          <w:position w:val="-14"/>
          <w:lang w:eastAsia="ja-JP"/>
        </w:rPr>
        <w:object w:dxaOrig="540" w:dyaOrig="400">
          <v:shape id="_x0000_i1038" type="#_x0000_t75" style="width:27pt;height:20.25pt" o:ole="">
            <v:imagedata r:id="rId15" o:title=""/>
          </v:shape>
          <o:OLEObject Type="Embed" ProgID="Equation.DSMT4" ShapeID="_x0000_i1038" DrawAspect="Content" ObjectID="_1580650438" r:id="rId31"/>
        </w:object>
      </w:r>
      <w:r>
        <w:rPr>
          <w:lang w:eastAsia="ja-JP"/>
        </w:rPr>
        <w:t xml:space="preserve"> (in volts); and for which </w:t>
      </w:r>
      <w:r w:rsidRPr="00357A75">
        <w:rPr>
          <w:i/>
          <w:lang w:eastAsia="ja-JP"/>
        </w:rPr>
        <w:t>t</w:t>
      </w:r>
      <w:r>
        <w:rPr>
          <w:lang w:eastAsia="ja-JP"/>
        </w:rPr>
        <w:t xml:space="preserve"> (time, usually in seconds) is the independent variable, and electric charge </w:t>
      </w:r>
      <w:r>
        <w:rPr>
          <w:i/>
          <w:lang w:eastAsia="ja-JP"/>
        </w:rPr>
        <w:t>q</w:t>
      </w:r>
      <w:r>
        <w:rPr>
          <w:lang w:eastAsia="ja-JP"/>
        </w:rPr>
        <w:t xml:space="preserve"> (usually in coulombs) is the dependent variable, although in practical situations, the current</w:t>
      </w:r>
      <w:r w:rsidR="00A80F43">
        <w:rPr>
          <w:lang w:eastAsia="ja-JP"/>
        </w:rPr>
        <w:t xml:space="preserve"> </w:t>
      </w:r>
      <w:r w:rsidR="00A80F43" w:rsidRPr="00A80F43">
        <w:rPr>
          <w:position w:val="-24"/>
          <w:lang w:eastAsia="ja-JP"/>
        </w:rPr>
        <w:object w:dxaOrig="660" w:dyaOrig="620">
          <v:shape id="_x0000_i1039" type="#_x0000_t75" style="width:33pt;height:30.75pt" o:ole="">
            <v:imagedata r:id="rId32" o:title=""/>
          </v:shape>
          <o:OLEObject Type="Embed" ProgID="Equation.DSMT4" ShapeID="_x0000_i1039" DrawAspect="Content" ObjectID="_1580650439" r:id="rId33"/>
        </w:object>
      </w:r>
      <w:r w:rsidR="00A80F43">
        <w:rPr>
          <w:lang w:eastAsia="ja-JP"/>
        </w:rPr>
        <w:t xml:space="preserve"> may be of greater interest (it is obtained by solving the above equation first for </w:t>
      </w:r>
      <w:r w:rsidR="00A80F43" w:rsidRPr="00A80F43">
        <w:rPr>
          <w:i/>
          <w:lang w:eastAsia="ja-JP"/>
        </w:rPr>
        <w:t>q</w:t>
      </w:r>
      <w:r w:rsidR="00A80F43">
        <w:rPr>
          <w:lang w:eastAsia="ja-JP"/>
        </w:rPr>
        <w:t xml:space="preserve">, then differentiating with respect to </w:t>
      </w:r>
      <w:r w:rsidR="00A80F43" w:rsidRPr="00A80F43">
        <w:rPr>
          <w:i/>
          <w:lang w:eastAsia="ja-JP"/>
        </w:rPr>
        <w:t>t</w:t>
      </w:r>
      <w:r w:rsidR="00A80F43">
        <w:rPr>
          <w:lang w:eastAsia="ja-JP"/>
        </w:rPr>
        <w:t xml:space="preserve"> to get the current </w:t>
      </w:r>
      <w:proofErr w:type="spellStart"/>
      <w:r w:rsidR="00A80F43" w:rsidRPr="00A80F43">
        <w:rPr>
          <w:i/>
          <w:lang w:eastAsia="ja-JP"/>
        </w:rPr>
        <w:t>i</w:t>
      </w:r>
      <w:proofErr w:type="spellEnd"/>
      <w:r w:rsidR="00A80F43">
        <w:rPr>
          <w:lang w:eastAsia="ja-JP"/>
        </w:rPr>
        <w:t>)</w:t>
      </w:r>
      <w:r>
        <w:rPr>
          <w:lang w:eastAsia="ja-JP"/>
        </w:rPr>
        <w:t xml:space="preserve">. For a DC circuit (the simplest to solve), </w:t>
      </w:r>
      <w:r w:rsidRPr="00B92854">
        <w:rPr>
          <w:position w:val="-14"/>
          <w:lang w:eastAsia="ja-JP"/>
        </w:rPr>
        <w:object w:dxaOrig="540" w:dyaOrig="400">
          <v:shape id="_x0000_i1040" type="#_x0000_t75" style="width:27pt;height:20.25pt" o:ole="">
            <v:imagedata r:id="rId15" o:title=""/>
          </v:shape>
          <o:OLEObject Type="Embed" ProgID="Equation.DSMT4" ShapeID="_x0000_i1040" DrawAspect="Content" ObjectID="_1580650440" r:id="rId34"/>
        </w:object>
      </w:r>
      <w:r>
        <w:rPr>
          <w:lang w:eastAsia="ja-JP"/>
        </w:rPr>
        <w:t xml:space="preserve"> is a constant for all values of </w:t>
      </w:r>
      <w:r w:rsidRPr="006B19BE">
        <w:rPr>
          <w:i/>
          <w:lang w:eastAsia="ja-JP"/>
        </w:rPr>
        <w:t>t</w:t>
      </w:r>
      <w:r>
        <w:rPr>
          <w:lang w:eastAsia="ja-JP"/>
        </w:rPr>
        <w:t xml:space="preserve">. </w:t>
      </w:r>
      <w:r w:rsidR="00A80F43">
        <w:rPr>
          <w:lang w:eastAsia="ja-JP"/>
        </w:rPr>
        <w:t xml:space="preserve">The </w:t>
      </w:r>
      <w:r w:rsidR="00A80F43" w:rsidRPr="00A80F43">
        <w:rPr>
          <w:i/>
          <w:lang w:eastAsia="ja-JP"/>
        </w:rPr>
        <w:t>RC</w:t>
      </w:r>
      <w:r w:rsidR="00A80F43">
        <w:rPr>
          <w:lang w:eastAsia="ja-JP"/>
        </w:rPr>
        <w:t xml:space="preserve">-series circuit has both transient and asymptotic responses, as described previously for the </w:t>
      </w:r>
      <w:r w:rsidR="00A80F43" w:rsidRPr="00A80F43">
        <w:rPr>
          <w:i/>
          <w:lang w:eastAsia="ja-JP"/>
        </w:rPr>
        <w:t>LR</w:t>
      </w:r>
      <w:r w:rsidR="00A80F43">
        <w:rPr>
          <w:lang w:eastAsia="ja-JP"/>
        </w:rPr>
        <w:t>-series circuit.</w:t>
      </w:r>
    </w:p>
    <w:p w:rsidR="00A80F43" w:rsidRDefault="00A80F43" w:rsidP="00BF425B">
      <w:pPr>
        <w:rPr>
          <w:lang w:eastAsia="ja-JP"/>
        </w:rPr>
      </w:pPr>
      <w:r>
        <w:rPr>
          <w:lang w:eastAsia="ja-JP"/>
        </w:rPr>
        <w:t xml:space="preserve">For an AC circuit, assuming fixed values of </w:t>
      </w:r>
      <w:r>
        <w:rPr>
          <w:i/>
          <w:lang w:eastAsia="ja-JP"/>
        </w:rPr>
        <w:t>C</w:t>
      </w:r>
      <w:r>
        <w:rPr>
          <w:lang w:eastAsia="ja-JP"/>
        </w:rPr>
        <w:t xml:space="preserve">, </w:t>
      </w:r>
      <w:r w:rsidRPr="00A46643">
        <w:rPr>
          <w:i/>
          <w:lang w:eastAsia="ja-JP"/>
        </w:rPr>
        <w:t>R</w:t>
      </w:r>
      <w:r>
        <w:rPr>
          <w:lang w:eastAsia="ja-JP"/>
        </w:rPr>
        <w:t xml:space="preserve">, and the input amplitude, solving the differential equation demonstrates </w:t>
      </w:r>
      <w:r w:rsidR="00D5674D">
        <w:rPr>
          <w:lang w:eastAsia="ja-JP"/>
        </w:rPr>
        <w:t xml:space="preserve">that the asymptotic response is also sinusoidal, </w:t>
      </w:r>
      <w:r w:rsidR="00CF5F19">
        <w:rPr>
          <w:lang w:eastAsia="ja-JP"/>
        </w:rPr>
        <w:t xml:space="preserve">oscillating at the same frequency as the input, </w:t>
      </w:r>
      <w:r w:rsidR="00D5674D">
        <w:rPr>
          <w:lang w:eastAsia="ja-JP"/>
        </w:rPr>
        <w:t xml:space="preserve">but is generally not in phase with the input (the input EMF reaches its cyclic peaks a fraction of a period after the response current; this phase difference is greatest at low frequencies). Also, </w:t>
      </w:r>
      <w:r>
        <w:rPr>
          <w:lang w:eastAsia="ja-JP"/>
        </w:rPr>
        <w:t xml:space="preserve">the </w:t>
      </w:r>
      <w:r w:rsidR="00D5674D">
        <w:rPr>
          <w:lang w:eastAsia="ja-JP"/>
        </w:rPr>
        <w:t xml:space="preserve">amplitude of the </w:t>
      </w:r>
      <w:r>
        <w:rPr>
          <w:lang w:eastAsia="ja-JP"/>
        </w:rPr>
        <w:t xml:space="preserve">response (current) is higher at high frequencies, and lower at low frequencies. For this reason, </w:t>
      </w:r>
      <w:r w:rsidRPr="00A46643">
        <w:rPr>
          <w:i/>
          <w:lang w:eastAsia="ja-JP"/>
        </w:rPr>
        <w:t>R</w:t>
      </w:r>
      <w:r>
        <w:rPr>
          <w:i/>
          <w:lang w:eastAsia="ja-JP"/>
        </w:rPr>
        <w:t>C</w:t>
      </w:r>
      <w:r>
        <w:rPr>
          <w:lang w:eastAsia="ja-JP"/>
        </w:rPr>
        <w:t>-series circuits are sometimes called “high-pass filters.”</w:t>
      </w:r>
      <w:r w:rsidR="00D5674D">
        <w:rPr>
          <w:lang w:eastAsia="ja-JP"/>
        </w:rPr>
        <w:t xml:space="preserve"> In the limit as frequency approaches infinity, the capacitor has minimal effect on the circuit behavior, and the circuit may be modeled as though only a resistor were present.</w:t>
      </w:r>
    </w:p>
    <w:p w:rsidR="00CF5F19" w:rsidRPr="006B19BE" w:rsidRDefault="00CF5F19" w:rsidP="00CF5F19">
      <w:pPr>
        <w:rPr>
          <w:lang w:eastAsia="ja-JP"/>
        </w:rPr>
      </w:pPr>
      <w:r>
        <w:rPr>
          <w:lang w:eastAsia="ja-JP"/>
        </w:rPr>
        <w:t>Solution method: Integrating factor (DC circuits); more advanced methods not yet covered (AC circuits).</w:t>
      </w:r>
    </w:p>
    <w:sectPr w:rsidR="00CF5F19" w:rsidRPr="006B19BE" w:rsidSect="00577FD7">
      <w:footerReference w:type="default" r:id="rId3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A74" w:rsidRDefault="00E56A74" w:rsidP="001B5A4D">
      <w:pPr>
        <w:spacing w:before="0"/>
      </w:pPr>
      <w:r>
        <w:separator/>
      </w:r>
    </w:p>
  </w:endnote>
  <w:endnote w:type="continuationSeparator" w:id="0">
    <w:p w:rsidR="00E56A74" w:rsidRDefault="00E56A74" w:rsidP="001B5A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56A" w:rsidRDefault="00D3356A">
    <w:pPr>
      <w:pStyle w:val="Footer"/>
      <w:jc w:val="center"/>
    </w:pPr>
    <w:r>
      <w:t xml:space="preserve">Page </w:t>
    </w:r>
    <w:r w:rsidR="00586D3A">
      <w:t>3</w:t>
    </w:r>
    <w:r>
      <w:t>.</w:t>
    </w:r>
    <w:r w:rsidR="00586D3A">
      <w:t>1</w:t>
    </w:r>
    <w:r>
      <w:t>-</w:t>
    </w:r>
    <w:sdt>
      <w:sdtPr>
        <w:id w:val="19946060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D3A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D3356A" w:rsidRDefault="00D33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A74" w:rsidRDefault="00E56A74" w:rsidP="001B5A4D">
      <w:pPr>
        <w:spacing w:before="0"/>
      </w:pPr>
      <w:r>
        <w:separator/>
      </w:r>
    </w:p>
  </w:footnote>
  <w:footnote w:type="continuationSeparator" w:id="0">
    <w:p w:rsidR="00E56A74" w:rsidRDefault="00E56A74" w:rsidP="001B5A4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6231"/>
    <w:multiLevelType w:val="multilevel"/>
    <w:tmpl w:val="CFAA6B4A"/>
    <w:lvl w:ilvl="0">
      <w:start w:val="1"/>
      <w:numFmt w:val="lowerLetter"/>
      <w:pStyle w:val="ProblemSubpart"/>
      <w:lvlText w:val="(%1)"/>
      <w:lvlJc w:val="left"/>
      <w:pPr>
        <w:tabs>
          <w:tab w:val="num" w:pos="1080"/>
        </w:tabs>
        <w:ind w:left="900" w:hanging="360"/>
      </w:pPr>
      <w:rPr>
        <w:rFonts w:hint="default"/>
        <w:b/>
        <w:i w:val="0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73875068"/>
    <w:multiLevelType w:val="hybridMultilevel"/>
    <w:tmpl w:val="D8142008"/>
    <w:lvl w:ilvl="0" w:tplc="4008CD4E">
      <w:start w:val="1"/>
      <w:numFmt w:val="decimal"/>
      <w:pStyle w:val="ProblemNumber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 w:tplc="7256E414">
      <w:start w:val="1"/>
      <w:numFmt w:val="lowerLetter"/>
      <w:lvlText w:val="(%2)"/>
      <w:lvlJc w:val="left"/>
      <w:pPr>
        <w:tabs>
          <w:tab w:val="num" w:pos="1080"/>
        </w:tabs>
        <w:ind w:left="1080" w:hanging="54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B5"/>
    <w:rsid w:val="0002396E"/>
    <w:rsid w:val="000371D8"/>
    <w:rsid w:val="00057521"/>
    <w:rsid w:val="00077B5B"/>
    <w:rsid w:val="00090778"/>
    <w:rsid w:val="0009609A"/>
    <w:rsid w:val="000A15F4"/>
    <w:rsid w:val="000A5A64"/>
    <w:rsid w:val="000A7CB9"/>
    <w:rsid w:val="000C3602"/>
    <w:rsid w:val="000E11E2"/>
    <w:rsid w:val="000E1558"/>
    <w:rsid w:val="000E1A25"/>
    <w:rsid w:val="000E30C6"/>
    <w:rsid w:val="00114C15"/>
    <w:rsid w:val="001153F5"/>
    <w:rsid w:val="001336B2"/>
    <w:rsid w:val="001437AC"/>
    <w:rsid w:val="0016539F"/>
    <w:rsid w:val="00173EC5"/>
    <w:rsid w:val="00177FEF"/>
    <w:rsid w:val="001800CE"/>
    <w:rsid w:val="00197420"/>
    <w:rsid w:val="001A7EF3"/>
    <w:rsid w:val="001B5A4D"/>
    <w:rsid w:val="001C4A59"/>
    <w:rsid w:val="001D2272"/>
    <w:rsid w:val="001E12A7"/>
    <w:rsid w:val="001E3B3C"/>
    <w:rsid w:val="001E595C"/>
    <w:rsid w:val="001F5A92"/>
    <w:rsid w:val="002042EF"/>
    <w:rsid w:val="00207071"/>
    <w:rsid w:val="002208B9"/>
    <w:rsid w:val="00237F87"/>
    <w:rsid w:val="00243606"/>
    <w:rsid w:val="00244204"/>
    <w:rsid w:val="00281B81"/>
    <w:rsid w:val="0029143D"/>
    <w:rsid w:val="00292481"/>
    <w:rsid w:val="002B3241"/>
    <w:rsid w:val="002B6A9A"/>
    <w:rsid w:val="002C7597"/>
    <w:rsid w:val="002E1B91"/>
    <w:rsid w:val="002E5644"/>
    <w:rsid w:val="00316695"/>
    <w:rsid w:val="00337EB0"/>
    <w:rsid w:val="00345453"/>
    <w:rsid w:val="003520CD"/>
    <w:rsid w:val="00357A75"/>
    <w:rsid w:val="00361D78"/>
    <w:rsid w:val="00362D5B"/>
    <w:rsid w:val="003749A8"/>
    <w:rsid w:val="00380BC7"/>
    <w:rsid w:val="00381E57"/>
    <w:rsid w:val="00382582"/>
    <w:rsid w:val="003B3749"/>
    <w:rsid w:val="003D4FDD"/>
    <w:rsid w:val="003E46C5"/>
    <w:rsid w:val="00413243"/>
    <w:rsid w:val="00415EC5"/>
    <w:rsid w:val="00421BA4"/>
    <w:rsid w:val="00432355"/>
    <w:rsid w:val="004353DB"/>
    <w:rsid w:val="00463FFF"/>
    <w:rsid w:val="00480066"/>
    <w:rsid w:val="004813CE"/>
    <w:rsid w:val="00491635"/>
    <w:rsid w:val="00494782"/>
    <w:rsid w:val="004957F2"/>
    <w:rsid w:val="004965B9"/>
    <w:rsid w:val="004A781B"/>
    <w:rsid w:val="00501A2E"/>
    <w:rsid w:val="005106C5"/>
    <w:rsid w:val="005111A6"/>
    <w:rsid w:val="00522B9B"/>
    <w:rsid w:val="00524167"/>
    <w:rsid w:val="00524598"/>
    <w:rsid w:val="00524B29"/>
    <w:rsid w:val="00525138"/>
    <w:rsid w:val="00532551"/>
    <w:rsid w:val="005356A4"/>
    <w:rsid w:val="00542CF9"/>
    <w:rsid w:val="0054315C"/>
    <w:rsid w:val="00547A21"/>
    <w:rsid w:val="00561365"/>
    <w:rsid w:val="005644E3"/>
    <w:rsid w:val="00577FD7"/>
    <w:rsid w:val="00586D3A"/>
    <w:rsid w:val="00593843"/>
    <w:rsid w:val="00597BC4"/>
    <w:rsid w:val="005B1986"/>
    <w:rsid w:val="005B715A"/>
    <w:rsid w:val="005D200A"/>
    <w:rsid w:val="005E275E"/>
    <w:rsid w:val="005E4A79"/>
    <w:rsid w:val="005F2B17"/>
    <w:rsid w:val="00607C3D"/>
    <w:rsid w:val="006228BE"/>
    <w:rsid w:val="00625449"/>
    <w:rsid w:val="00655DFC"/>
    <w:rsid w:val="0066774A"/>
    <w:rsid w:val="00687294"/>
    <w:rsid w:val="0069000E"/>
    <w:rsid w:val="00695C74"/>
    <w:rsid w:val="006B19BE"/>
    <w:rsid w:val="006B37B2"/>
    <w:rsid w:val="006C2CBB"/>
    <w:rsid w:val="006C6A48"/>
    <w:rsid w:val="006C7A06"/>
    <w:rsid w:val="006D5AAA"/>
    <w:rsid w:val="006D5BF5"/>
    <w:rsid w:val="006F55F4"/>
    <w:rsid w:val="00704937"/>
    <w:rsid w:val="00705509"/>
    <w:rsid w:val="00706265"/>
    <w:rsid w:val="00714787"/>
    <w:rsid w:val="007211EF"/>
    <w:rsid w:val="0073450C"/>
    <w:rsid w:val="0073624B"/>
    <w:rsid w:val="007402EB"/>
    <w:rsid w:val="00745CC8"/>
    <w:rsid w:val="00765CA1"/>
    <w:rsid w:val="007739EB"/>
    <w:rsid w:val="00782768"/>
    <w:rsid w:val="00783064"/>
    <w:rsid w:val="0078569A"/>
    <w:rsid w:val="00785E22"/>
    <w:rsid w:val="00786100"/>
    <w:rsid w:val="007907B1"/>
    <w:rsid w:val="00792280"/>
    <w:rsid w:val="0079261D"/>
    <w:rsid w:val="00793C68"/>
    <w:rsid w:val="007A156D"/>
    <w:rsid w:val="007C26DD"/>
    <w:rsid w:val="007C61C5"/>
    <w:rsid w:val="007E4C61"/>
    <w:rsid w:val="008234FE"/>
    <w:rsid w:val="00832D1E"/>
    <w:rsid w:val="008409CC"/>
    <w:rsid w:val="00845841"/>
    <w:rsid w:val="008616DD"/>
    <w:rsid w:val="008778CB"/>
    <w:rsid w:val="008B4B42"/>
    <w:rsid w:val="008D4C72"/>
    <w:rsid w:val="008E772B"/>
    <w:rsid w:val="008F3DC8"/>
    <w:rsid w:val="00911602"/>
    <w:rsid w:val="00911F92"/>
    <w:rsid w:val="00913BD6"/>
    <w:rsid w:val="009317C3"/>
    <w:rsid w:val="009436F6"/>
    <w:rsid w:val="009573D4"/>
    <w:rsid w:val="00960638"/>
    <w:rsid w:val="00983FF3"/>
    <w:rsid w:val="009C7201"/>
    <w:rsid w:val="009D795E"/>
    <w:rsid w:val="00A0694C"/>
    <w:rsid w:val="00A07FC1"/>
    <w:rsid w:val="00A10BB3"/>
    <w:rsid w:val="00A25221"/>
    <w:rsid w:val="00A26B8D"/>
    <w:rsid w:val="00A46643"/>
    <w:rsid w:val="00A55B17"/>
    <w:rsid w:val="00A63A38"/>
    <w:rsid w:val="00A6562B"/>
    <w:rsid w:val="00A65FCC"/>
    <w:rsid w:val="00A6642D"/>
    <w:rsid w:val="00A7074F"/>
    <w:rsid w:val="00A72888"/>
    <w:rsid w:val="00A74E3B"/>
    <w:rsid w:val="00A80F43"/>
    <w:rsid w:val="00A84C08"/>
    <w:rsid w:val="00A909A0"/>
    <w:rsid w:val="00A9187B"/>
    <w:rsid w:val="00AA25CB"/>
    <w:rsid w:val="00AA2D29"/>
    <w:rsid w:val="00AC3CDD"/>
    <w:rsid w:val="00AC7752"/>
    <w:rsid w:val="00AC7928"/>
    <w:rsid w:val="00AD5A2C"/>
    <w:rsid w:val="00AE7CB7"/>
    <w:rsid w:val="00B11609"/>
    <w:rsid w:val="00B21FEF"/>
    <w:rsid w:val="00B279BA"/>
    <w:rsid w:val="00B32450"/>
    <w:rsid w:val="00B367B8"/>
    <w:rsid w:val="00B46E1C"/>
    <w:rsid w:val="00B472D0"/>
    <w:rsid w:val="00B47A4D"/>
    <w:rsid w:val="00B5342C"/>
    <w:rsid w:val="00B64258"/>
    <w:rsid w:val="00B65990"/>
    <w:rsid w:val="00B70B21"/>
    <w:rsid w:val="00B92854"/>
    <w:rsid w:val="00BA7B41"/>
    <w:rsid w:val="00BC12D7"/>
    <w:rsid w:val="00BC3FB1"/>
    <w:rsid w:val="00BD4BC5"/>
    <w:rsid w:val="00BD5A43"/>
    <w:rsid w:val="00BE1E1B"/>
    <w:rsid w:val="00BE246E"/>
    <w:rsid w:val="00BF417D"/>
    <w:rsid w:val="00BF425B"/>
    <w:rsid w:val="00C05C1F"/>
    <w:rsid w:val="00C2170B"/>
    <w:rsid w:val="00C319A8"/>
    <w:rsid w:val="00C40192"/>
    <w:rsid w:val="00C42EED"/>
    <w:rsid w:val="00C44945"/>
    <w:rsid w:val="00C47638"/>
    <w:rsid w:val="00C709C5"/>
    <w:rsid w:val="00C73E92"/>
    <w:rsid w:val="00C761DA"/>
    <w:rsid w:val="00C91388"/>
    <w:rsid w:val="00C93C5C"/>
    <w:rsid w:val="00CA43A8"/>
    <w:rsid w:val="00CA5AA2"/>
    <w:rsid w:val="00CA72C2"/>
    <w:rsid w:val="00CB2BA1"/>
    <w:rsid w:val="00CD0384"/>
    <w:rsid w:val="00CD1A48"/>
    <w:rsid w:val="00CF35AC"/>
    <w:rsid w:val="00CF5F19"/>
    <w:rsid w:val="00D01D8F"/>
    <w:rsid w:val="00D05589"/>
    <w:rsid w:val="00D15876"/>
    <w:rsid w:val="00D3356A"/>
    <w:rsid w:val="00D425AA"/>
    <w:rsid w:val="00D446A5"/>
    <w:rsid w:val="00D54904"/>
    <w:rsid w:val="00D54F4A"/>
    <w:rsid w:val="00D55B21"/>
    <w:rsid w:val="00D5674D"/>
    <w:rsid w:val="00D82C36"/>
    <w:rsid w:val="00D8496E"/>
    <w:rsid w:val="00D94269"/>
    <w:rsid w:val="00D948F1"/>
    <w:rsid w:val="00DD5F0C"/>
    <w:rsid w:val="00DF100B"/>
    <w:rsid w:val="00E054E0"/>
    <w:rsid w:val="00E175D4"/>
    <w:rsid w:val="00E32C69"/>
    <w:rsid w:val="00E37198"/>
    <w:rsid w:val="00E44545"/>
    <w:rsid w:val="00E56A74"/>
    <w:rsid w:val="00E60814"/>
    <w:rsid w:val="00E81C62"/>
    <w:rsid w:val="00E873CC"/>
    <w:rsid w:val="00E91A52"/>
    <w:rsid w:val="00E945E4"/>
    <w:rsid w:val="00EA0F53"/>
    <w:rsid w:val="00ED4B2C"/>
    <w:rsid w:val="00EF439F"/>
    <w:rsid w:val="00F105B1"/>
    <w:rsid w:val="00F259D3"/>
    <w:rsid w:val="00F50838"/>
    <w:rsid w:val="00F52F6C"/>
    <w:rsid w:val="00F62120"/>
    <w:rsid w:val="00F670B5"/>
    <w:rsid w:val="00F77ED2"/>
    <w:rsid w:val="00F86C70"/>
    <w:rsid w:val="00FA28DE"/>
    <w:rsid w:val="00FB31D7"/>
    <w:rsid w:val="00FB681F"/>
    <w:rsid w:val="00FE0995"/>
    <w:rsid w:val="00FE3D42"/>
    <w:rsid w:val="00F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CF4FC4"/>
  <w15:docId w15:val="{58C98F1C-4959-4C1F-8710-7F3B2273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D"/>
    <w:pPr>
      <w:spacing w:before="240"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0B5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114C15"/>
    <w:pPr>
      <w:keepNext/>
      <w:keepLines/>
      <w:spacing w:after="120"/>
      <w:outlineLvl w:val="1"/>
    </w:pPr>
    <w:rPr>
      <w:rFonts w:asciiTheme="majorHAnsi" w:eastAsia="Times New Roman" w:hAnsiTheme="majorHAnsi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Equation">
    <w:name w:val="Centered Equation"/>
    <w:basedOn w:val="Normal"/>
    <w:autoRedefine/>
    <w:rsid w:val="00CF5F19"/>
    <w:pPr>
      <w:keepNext/>
      <w:spacing w:after="120"/>
      <w:jc w:val="center"/>
    </w:pPr>
  </w:style>
  <w:style w:type="paragraph" w:customStyle="1" w:styleId="NormalIndented">
    <w:name w:val="Normal Indented"/>
    <w:basedOn w:val="Normal"/>
    <w:rsid w:val="00D82C36"/>
    <w:pPr>
      <w:spacing w:after="120"/>
      <w:ind w:left="540"/>
    </w:pPr>
  </w:style>
  <w:style w:type="paragraph" w:customStyle="1" w:styleId="ProblemNumber">
    <w:name w:val="Problem Number"/>
    <w:basedOn w:val="Normal"/>
    <w:rsid w:val="003749A8"/>
    <w:pPr>
      <w:numPr>
        <w:numId w:val="3"/>
      </w:numPr>
      <w:spacing w:after="120"/>
    </w:pPr>
    <w:rPr>
      <w:szCs w:val="24"/>
    </w:rPr>
  </w:style>
  <w:style w:type="paragraph" w:customStyle="1" w:styleId="ProblemSubpart">
    <w:name w:val="Problem Subpart"/>
    <w:basedOn w:val="Normal"/>
    <w:rsid w:val="003749A8"/>
    <w:pPr>
      <w:numPr>
        <w:numId w:val="4"/>
      </w:numPr>
      <w:tabs>
        <w:tab w:val="clear" w:pos="1080"/>
      </w:tabs>
      <w:spacing w:after="120"/>
    </w:pPr>
  </w:style>
  <w:style w:type="table" w:styleId="TableGrid">
    <w:name w:val="Table Grid"/>
    <w:basedOn w:val="TableNormal"/>
    <w:rsid w:val="00D8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14C15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14C15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Heading2Char">
    <w:name w:val="Heading 2 Char"/>
    <w:link w:val="Heading2"/>
    <w:uiPriority w:val="9"/>
    <w:rsid w:val="00114C15"/>
    <w:rPr>
      <w:rFonts w:asciiTheme="majorHAnsi" w:eastAsia="Times New Roman" w:hAnsiTheme="majorHAnsi" w:cs="Times New Roman"/>
      <w:b/>
      <w:color w:val="000000"/>
      <w:sz w:val="24"/>
    </w:rPr>
  </w:style>
  <w:style w:type="character" w:styleId="PageNumber">
    <w:name w:val="page number"/>
    <w:basedOn w:val="DefaultParagraphFont"/>
    <w:rsid w:val="003749A8"/>
  </w:style>
  <w:style w:type="paragraph" w:customStyle="1" w:styleId="Centered">
    <w:name w:val="Centered"/>
    <w:basedOn w:val="Normal"/>
    <w:rsid w:val="003749A8"/>
    <w:pPr>
      <w:snapToGrid w:val="0"/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70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5A4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B5A4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A4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B5A4D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042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2E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E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Bowen</dc:creator>
  <cp:lastModifiedBy>Michael Bowen</cp:lastModifiedBy>
  <cp:revision>18</cp:revision>
  <cp:lastPrinted>2018-02-15T00:01:00Z</cp:lastPrinted>
  <dcterms:created xsi:type="dcterms:W3CDTF">2018-02-14T23:35:00Z</dcterms:created>
  <dcterms:modified xsi:type="dcterms:W3CDTF">2018-02-21T00:47:00Z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