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E1C" w:rsidRDefault="00F670B5" w:rsidP="00F670B5">
      <w:pPr>
        <w:pStyle w:val="Title"/>
      </w:pPr>
      <w:r>
        <w:t>MATH V23 LECTURE NOTES</w:t>
      </w:r>
      <w:r w:rsidR="00B472D0">
        <w:t xml:space="preserve"> (Bowen)</w:t>
      </w:r>
      <w:r>
        <w:br/>
      </w:r>
      <w:r w:rsidR="00547A21">
        <w:t>Section</w:t>
      </w:r>
      <w:r>
        <w:t xml:space="preserve"> 1.</w:t>
      </w:r>
      <w:r w:rsidR="008234FE">
        <w:t>3</w:t>
      </w:r>
      <w:r w:rsidR="00522B9B">
        <w:br/>
      </w:r>
      <w:r w:rsidR="008234FE">
        <w:t>Differential Equations as Mathematical Models</w:t>
      </w:r>
    </w:p>
    <w:p w:rsidR="00B65990" w:rsidRDefault="008234FE" w:rsidP="00ED4B2C">
      <w:pPr>
        <w:rPr>
          <w:lang w:eastAsia="ja-JP"/>
        </w:rPr>
      </w:pPr>
      <w:r>
        <w:rPr>
          <w:u w:val="single"/>
          <w:lang w:eastAsia="ja-JP"/>
        </w:rPr>
        <w:t>Mathematical models</w:t>
      </w:r>
      <w:r w:rsidR="007211EF">
        <w:rPr>
          <w:lang w:eastAsia="ja-JP"/>
        </w:rPr>
        <w:t xml:space="preserve">. </w:t>
      </w:r>
      <w:r>
        <w:rPr>
          <w:lang w:eastAsia="ja-JP"/>
        </w:rPr>
        <w:t>The behavior of real-life systems or phenomena can often be described and/or predicted because observables (</w:t>
      </w:r>
      <w:r w:rsidRPr="008234FE">
        <w:rPr>
          <w:i/>
          <w:lang w:eastAsia="ja-JP"/>
        </w:rPr>
        <w:t>e.g.</w:t>
      </w:r>
      <w:r>
        <w:rPr>
          <w:lang w:eastAsia="ja-JP"/>
        </w:rPr>
        <w:t>, the position or velocity of a projectile, the human population of the Earth, the gross domestic product of a nation, or the number of radioactive decays per second</w:t>
      </w:r>
      <w:r w:rsidR="00D55B21">
        <w:rPr>
          <w:lang w:eastAsia="ja-JP"/>
        </w:rPr>
        <w:t xml:space="preserve"> in a sample of plutonium</w:t>
      </w:r>
      <w:r>
        <w:rPr>
          <w:lang w:eastAsia="ja-JP"/>
        </w:rPr>
        <w:t xml:space="preserve">) closely resemble mathematical functions. </w:t>
      </w:r>
      <w:r w:rsidR="00C2170B">
        <w:rPr>
          <w:lang w:eastAsia="ja-JP"/>
        </w:rPr>
        <w:t>A</w:t>
      </w:r>
      <w:r>
        <w:rPr>
          <w:lang w:eastAsia="ja-JP"/>
        </w:rPr>
        <w:t xml:space="preserve"> description of the behavior </w:t>
      </w:r>
      <w:r w:rsidR="001336B2">
        <w:rPr>
          <w:lang w:eastAsia="ja-JP"/>
        </w:rPr>
        <w:t xml:space="preserve">in terms of these functions </w:t>
      </w:r>
      <w:r>
        <w:rPr>
          <w:lang w:eastAsia="ja-JP"/>
        </w:rPr>
        <w:t xml:space="preserve">is called a </w:t>
      </w:r>
      <w:r w:rsidRPr="008234FE">
        <w:rPr>
          <w:b/>
          <w:i/>
          <w:lang w:eastAsia="ja-JP"/>
        </w:rPr>
        <w:t>mathematical model</w:t>
      </w:r>
      <w:r>
        <w:rPr>
          <w:lang w:eastAsia="ja-JP"/>
        </w:rPr>
        <w:t>.</w:t>
      </w:r>
    </w:p>
    <w:p w:rsidR="00D8496E" w:rsidRDefault="000E1A25" w:rsidP="00ED4B2C">
      <w:pPr>
        <w:rPr>
          <w:lang w:eastAsia="ja-JP"/>
        </w:rPr>
      </w:pPr>
      <w:r w:rsidRPr="000E1A25">
        <w:rPr>
          <w:u w:val="single"/>
          <w:lang w:eastAsia="ja-JP"/>
        </w:rPr>
        <w:t>Resolution</w:t>
      </w:r>
      <w:r>
        <w:rPr>
          <w:lang w:eastAsia="ja-JP"/>
        </w:rPr>
        <w:t xml:space="preserve">. </w:t>
      </w:r>
      <w:r w:rsidR="00C2170B">
        <w:rPr>
          <w:lang w:eastAsia="ja-JP"/>
        </w:rPr>
        <w:t>Mathematical models may va</w:t>
      </w:r>
      <w:r w:rsidR="00D8496E">
        <w:rPr>
          <w:lang w:eastAsia="ja-JP"/>
        </w:rPr>
        <w:t xml:space="preserve">ry in complexity, from simple </w:t>
      </w:r>
      <w:r w:rsidR="00561365">
        <w:rPr>
          <w:lang w:eastAsia="ja-JP"/>
        </w:rPr>
        <w:t xml:space="preserve">or </w:t>
      </w:r>
      <w:r w:rsidR="00561365" w:rsidRPr="00561365">
        <w:rPr>
          <w:b/>
          <w:i/>
          <w:lang w:eastAsia="ja-JP"/>
        </w:rPr>
        <w:t>low-resolution</w:t>
      </w:r>
      <w:r w:rsidR="00561365">
        <w:rPr>
          <w:lang w:eastAsia="ja-JP"/>
        </w:rPr>
        <w:t xml:space="preserve"> </w:t>
      </w:r>
      <w:r w:rsidR="00D8496E">
        <w:rPr>
          <w:lang w:eastAsia="ja-JP"/>
        </w:rPr>
        <w:t>(containing one or just a few variables) to very sophisticated</w:t>
      </w:r>
      <w:r w:rsidR="00561365">
        <w:rPr>
          <w:lang w:eastAsia="ja-JP"/>
        </w:rPr>
        <w:t xml:space="preserve"> or </w:t>
      </w:r>
      <w:r w:rsidR="00561365" w:rsidRPr="00561365">
        <w:rPr>
          <w:b/>
          <w:i/>
          <w:lang w:eastAsia="ja-JP"/>
        </w:rPr>
        <w:t>high-resolution</w:t>
      </w:r>
      <w:r w:rsidR="00D8496E">
        <w:rPr>
          <w:lang w:eastAsia="ja-JP"/>
        </w:rPr>
        <w:t xml:space="preserve"> (possibly containing thousands of variables). Supercomputers may be used to compute the predictions of the most complicated models, such as climate models. Simple models ignore most of a system’s variables, often resulting in somewhat inaccurate representations of a system or phenomenon.</w:t>
      </w:r>
      <w:r w:rsidR="00561365">
        <w:rPr>
          <w:lang w:eastAsia="ja-JP"/>
        </w:rPr>
        <w:t xml:space="preserve"> For the motion of a projectile, a simple model might only consider the force of gravity</w:t>
      </w:r>
      <w:r w:rsidR="009436F6">
        <w:rPr>
          <w:lang w:eastAsia="ja-JP"/>
        </w:rPr>
        <w:t xml:space="preserve"> (assumed constant)</w:t>
      </w:r>
      <w:r w:rsidR="00561365">
        <w:rPr>
          <w:lang w:eastAsia="ja-JP"/>
        </w:rPr>
        <w:t xml:space="preserve">. Increasingly sophisticated models </w:t>
      </w:r>
      <w:r w:rsidR="009436F6">
        <w:rPr>
          <w:lang w:eastAsia="ja-JP"/>
        </w:rPr>
        <w:t>may attempt to account for air resistance (including the effects of prevailing winds and/or changes in the projectile’s orientation), variations in elevation of the terrain, variations in the acceleration of gravity due to altitude, the curvature of the Earth’s surface, and/or the rotation of the Earth.</w:t>
      </w:r>
    </w:p>
    <w:p w:rsidR="009436F6" w:rsidRDefault="000E1A25" w:rsidP="00ED4B2C">
      <w:pPr>
        <w:rPr>
          <w:lang w:eastAsia="ja-JP"/>
        </w:rPr>
      </w:pPr>
      <w:r w:rsidRPr="000E1A25">
        <w:rPr>
          <w:u w:val="single"/>
          <w:lang w:eastAsia="ja-JP"/>
        </w:rPr>
        <w:t>Model developmen</w:t>
      </w:r>
      <w:r>
        <w:rPr>
          <w:u w:val="single"/>
          <w:lang w:eastAsia="ja-JP"/>
        </w:rPr>
        <w:t>t and refinemen</w:t>
      </w:r>
      <w:r w:rsidRPr="000E1A25">
        <w:rPr>
          <w:u w:val="single"/>
          <w:lang w:eastAsia="ja-JP"/>
        </w:rPr>
        <w:t>t</w:t>
      </w:r>
      <w:r>
        <w:rPr>
          <w:lang w:eastAsia="ja-JP"/>
        </w:rPr>
        <w:t xml:space="preserve">. </w:t>
      </w:r>
      <w:r w:rsidR="009436F6">
        <w:rPr>
          <w:lang w:eastAsia="ja-JP"/>
        </w:rPr>
        <w:t xml:space="preserve">Models typically incorporate known or suspected laws governing the behavior of a system. These laws often specify how the rates of change of observables are related to the values of the same or other observables. Because derivatives are used to state rates of change, </w:t>
      </w:r>
      <w:r w:rsidR="00D55B21">
        <w:rPr>
          <w:lang w:eastAsia="ja-JP"/>
        </w:rPr>
        <w:t xml:space="preserve">the resulting model often involves derivatives, and can result in the creation of one or more differential equations to model the system. Solving these equations allows us to compare </w:t>
      </w:r>
      <w:r w:rsidR="00C05C1F">
        <w:rPr>
          <w:lang w:eastAsia="ja-JP"/>
        </w:rPr>
        <w:t>the model’s predictions with the behavior of t</w:t>
      </w:r>
      <w:r w:rsidR="00C2170B">
        <w:rPr>
          <w:lang w:eastAsia="ja-JP"/>
        </w:rPr>
        <w:t xml:space="preserve">he system being modeled. If </w:t>
      </w:r>
      <w:r>
        <w:rPr>
          <w:lang w:eastAsia="ja-JP"/>
        </w:rPr>
        <w:t>prediction</w:t>
      </w:r>
      <w:r w:rsidR="00C05C1F">
        <w:rPr>
          <w:lang w:eastAsia="ja-JP"/>
        </w:rPr>
        <w:t xml:space="preserve">s differ significantly from </w:t>
      </w:r>
      <w:r>
        <w:rPr>
          <w:lang w:eastAsia="ja-JP"/>
        </w:rPr>
        <w:t>observations</w:t>
      </w:r>
      <w:r w:rsidR="00C05C1F">
        <w:rPr>
          <w:lang w:eastAsia="ja-JP"/>
        </w:rPr>
        <w:t>, we may need to increase the resolution of the model, re-examine our assumptions, or both. Figure 1.3.1 in the text [</w:t>
      </w:r>
      <w:proofErr w:type="spellStart"/>
      <w:r w:rsidR="00C05C1F">
        <w:rPr>
          <w:lang w:eastAsia="ja-JP"/>
        </w:rPr>
        <w:t>Zill</w:t>
      </w:r>
      <w:proofErr w:type="spellEnd"/>
      <w:r w:rsidR="00C05C1F">
        <w:rPr>
          <w:lang w:eastAsia="ja-JP"/>
        </w:rPr>
        <w:t xml:space="preserve">] shows the iterative process through models may be </w:t>
      </w:r>
      <w:r w:rsidR="00C2170B">
        <w:rPr>
          <w:lang w:eastAsia="ja-JP"/>
        </w:rPr>
        <w:t>ref</w:t>
      </w:r>
      <w:r w:rsidR="00C05C1F">
        <w:rPr>
          <w:lang w:eastAsia="ja-JP"/>
        </w:rPr>
        <w:t xml:space="preserve">ined. High-resolution models are costly (you need smart people to develop them and/or significant computing power to test them); there is an engineering trade-off between resolution and expense that ultimately limits the accuracy of any </w:t>
      </w:r>
      <w:r>
        <w:rPr>
          <w:lang w:eastAsia="ja-JP"/>
        </w:rPr>
        <w:t xml:space="preserve">practical </w:t>
      </w:r>
      <w:r w:rsidR="00C05C1F">
        <w:rPr>
          <w:lang w:eastAsia="ja-JP"/>
        </w:rPr>
        <w:t>model.</w:t>
      </w:r>
    </w:p>
    <w:p w:rsidR="00413243" w:rsidRDefault="00C05C1F" w:rsidP="00ED4B2C">
      <w:pPr>
        <w:rPr>
          <w:lang w:eastAsia="ja-JP"/>
        </w:rPr>
      </w:pPr>
      <w:r>
        <w:rPr>
          <w:lang w:eastAsia="ja-JP"/>
        </w:rPr>
        <w:t>The textbook [</w:t>
      </w:r>
      <w:proofErr w:type="spellStart"/>
      <w:r>
        <w:rPr>
          <w:lang w:eastAsia="ja-JP"/>
        </w:rPr>
        <w:t>Zill</w:t>
      </w:r>
      <w:proofErr w:type="spellEnd"/>
      <w:r>
        <w:rPr>
          <w:lang w:eastAsia="ja-JP"/>
        </w:rPr>
        <w:t xml:space="preserve">] discusses models of population dynamics, radioactive decay, Newton’s law of cooling, the spread of a disease, chemical reactions, mixtures, draining a tank, series circuits, falling bodies, and the shape of a suspension cable. Each may be modeled by </w:t>
      </w:r>
      <w:r w:rsidR="00B70B21">
        <w:rPr>
          <w:lang w:eastAsia="ja-JP"/>
        </w:rPr>
        <w:t>one or more</w:t>
      </w:r>
      <w:r>
        <w:rPr>
          <w:lang w:eastAsia="ja-JP"/>
        </w:rPr>
        <w:t xml:space="preserve"> differential equation</w:t>
      </w:r>
      <w:r w:rsidR="00B70B21">
        <w:rPr>
          <w:lang w:eastAsia="ja-JP"/>
        </w:rPr>
        <w:t>s</w:t>
      </w:r>
      <w:r>
        <w:rPr>
          <w:lang w:eastAsia="ja-JP"/>
        </w:rPr>
        <w:t>. In the homework, you will be asked to create differential equations to describe these and other phenomena</w:t>
      </w:r>
      <w:r w:rsidR="00B70B21">
        <w:rPr>
          <w:lang w:eastAsia="ja-JP"/>
        </w:rPr>
        <w:t>. You may be asked to consider</w:t>
      </w:r>
      <w:r>
        <w:rPr>
          <w:lang w:eastAsia="ja-JP"/>
        </w:rPr>
        <w:t xml:space="preserve"> effects (variables) not </w:t>
      </w:r>
      <w:r>
        <w:rPr>
          <w:lang w:eastAsia="ja-JP"/>
        </w:rPr>
        <w:lastRenderedPageBreak/>
        <w:t xml:space="preserve">initially </w:t>
      </w:r>
      <w:r w:rsidR="00B70B21">
        <w:rPr>
          <w:lang w:eastAsia="ja-JP"/>
        </w:rPr>
        <w:t>address</w:t>
      </w:r>
      <w:r>
        <w:rPr>
          <w:lang w:eastAsia="ja-JP"/>
        </w:rPr>
        <w:t xml:space="preserve">ed in the textbook’s discussion. </w:t>
      </w:r>
      <w:r w:rsidR="00B70B21">
        <w:rPr>
          <w:lang w:eastAsia="ja-JP"/>
        </w:rPr>
        <w:t>You are not yet expected to solve these equations, but just to write them down, including a brief analysis or justification.</w:t>
      </w:r>
      <w:r w:rsidR="00413243">
        <w:rPr>
          <w:lang w:eastAsia="ja-JP"/>
        </w:rPr>
        <w:t xml:space="preserve"> </w:t>
      </w:r>
    </w:p>
    <w:p w:rsidR="00B70B21" w:rsidRDefault="00B367B8" w:rsidP="00ED4B2C">
      <w:pPr>
        <w:rPr>
          <w:lang w:eastAsia="ja-JP"/>
        </w:rPr>
      </w:pPr>
      <w:r w:rsidRPr="00B367B8">
        <w:rPr>
          <w:u w:val="single"/>
          <w:lang w:eastAsia="ja-JP"/>
        </w:rPr>
        <w:t>Population dynamics</w:t>
      </w:r>
      <w:r>
        <w:rPr>
          <w:lang w:eastAsia="ja-JP"/>
        </w:rPr>
        <w:t xml:space="preserve">. </w:t>
      </w:r>
      <w:r w:rsidR="00B70B21">
        <w:rPr>
          <w:lang w:eastAsia="ja-JP"/>
        </w:rPr>
        <w:t xml:space="preserve">For population </w:t>
      </w:r>
      <w:r w:rsidR="00C2170B">
        <w:rPr>
          <w:lang w:eastAsia="ja-JP"/>
        </w:rPr>
        <w:t>growth</w:t>
      </w:r>
      <w:r w:rsidR="00B70B21">
        <w:rPr>
          <w:lang w:eastAsia="ja-JP"/>
        </w:rPr>
        <w:t xml:space="preserve">, a simple model may only take birth rates into account, while ignoring deaths, migration, or variations in the birth rate over time due to war, disease, famine, aging of the population, or improvements in medical and sanitation practices. </w:t>
      </w:r>
      <w:r w:rsidR="008616DD">
        <w:rPr>
          <w:lang w:eastAsia="ja-JP"/>
        </w:rPr>
        <w:t xml:space="preserve">Because populations change over time </w:t>
      </w:r>
      <w:r w:rsidR="008616DD" w:rsidRPr="008616DD">
        <w:rPr>
          <w:i/>
          <w:lang w:eastAsia="ja-JP"/>
        </w:rPr>
        <w:t>t</w:t>
      </w:r>
      <w:r w:rsidR="008616DD">
        <w:rPr>
          <w:lang w:eastAsia="ja-JP"/>
        </w:rPr>
        <w:t xml:space="preserve">, it is reasonable to select </w:t>
      </w:r>
      <w:r w:rsidR="008616DD" w:rsidRPr="008616DD">
        <w:rPr>
          <w:i/>
          <w:lang w:eastAsia="ja-JP"/>
        </w:rPr>
        <w:t>t</w:t>
      </w:r>
      <w:r w:rsidR="008616DD">
        <w:rPr>
          <w:lang w:eastAsia="ja-JP"/>
        </w:rPr>
        <w:t xml:space="preserve"> as the independent variable for the model</w:t>
      </w:r>
      <w:r>
        <w:rPr>
          <w:lang w:eastAsia="ja-JP"/>
        </w:rPr>
        <w:t xml:space="preserve">, and the existing population </w:t>
      </w:r>
      <w:r w:rsidRPr="00B367B8">
        <w:rPr>
          <w:i/>
          <w:lang w:eastAsia="ja-JP"/>
        </w:rPr>
        <w:t>p</w:t>
      </w:r>
      <w:r>
        <w:rPr>
          <w:lang w:eastAsia="ja-JP"/>
        </w:rPr>
        <w:t xml:space="preserve"> (</w:t>
      </w:r>
      <w:r w:rsidR="00D94269">
        <w:rPr>
          <w:lang w:eastAsia="ja-JP"/>
        </w:rPr>
        <w:t>whose behavior</w:t>
      </w:r>
      <w:r>
        <w:rPr>
          <w:lang w:eastAsia="ja-JP"/>
        </w:rPr>
        <w:t xml:space="preserve"> we are studying) as the dependent variable</w:t>
      </w:r>
      <w:r w:rsidR="008616DD">
        <w:rPr>
          <w:lang w:eastAsia="ja-JP"/>
        </w:rPr>
        <w:t xml:space="preserve">. </w:t>
      </w:r>
      <w:r w:rsidR="00D94269">
        <w:rPr>
          <w:lang w:eastAsia="ja-JP"/>
        </w:rPr>
        <w:t xml:space="preserve">Most models </w:t>
      </w:r>
      <w:r w:rsidR="00B70B21">
        <w:rPr>
          <w:lang w:eastAsia="ja-JP"/>
        </w:rPr>
        <w:t>assume that more babies are born in large cities each year than in small villages because (on average) every existing human produces new humans (babies) at a fixed rate</w:t>
      </w:r>
      <w:r w:rsidR="0069000E">
        <w:rPr>
          <w:lang w:eastAsia="ja-JP"/>
        </w:rPr>
        <w:t xml:space="preserve">. If, for example, </w:t>
      </w:r>
      <w:r w:rsidR="008616DD">
        <w:rPr>
          <w:lang w:eastAsia="ja-JP"/>
        </w:rPr>
        <w:t xml:space="preserve">a model assumes that </w:t>
      </w:r>
      <w:r w:rsidR="0069000E">
        <w:rPr>
          <w:lang w:eastAsia="ja-JP"/>
        </w:rPr>
        <w:t xml:space="preserve">2 </w:t>
      </w:r>
      <w:r w:rsidR="00B70B21">
        <w:rPr>
          <w:lang w:eastAsia="ja-JP"/>
        </w:rPr>
        <w:t xml:space="preserve">babies per year </w:t>
      </w:r>
      <w:r w:rsidR="0069000E">
        <w:rPr>
          <w:lang w:eastAsia="ja-JP"/>
        </w:rPr>
        <w:t xml:space="preserve">are born </w:t>
      </w:r>
      <w:r w:rsidR="00B70B21">
        <w:rPr>
          <w:lang w:eastAsia="ja-JP"/>
        </w:rPr>
        <w:t>for every 100 people already existing during the year</w:t>
      </w:r>
      <w:r w:rsidR="0069000E">
        <w:rPr>
          <w:lang w:eastAsia="ja-JP"/>
        </w:rPr>
        <w:t>, then a village of 1000 people can reasonably expect about 20 births per year, while a metropolis of ten million people can reasonably expect about 200,000 births in the same period. This type of relationship, in which one variable (</w:t>
      </w:r>
      <w:r w:rsidR="0069000E" w:rsidRPr="0069000E">
        <w:rPr>
          <w:i/>
          <w:lang w:eastAsia="ja-JP"/>
        </w:rPr>
        <w:t>b</w:t>
      </w:r>
      <w:r w:rsidR="008616DD">
        <w:rPr>
          <w:lang w:eastAsia="ja-JP"/>
        </w:rPr>
        <w:t> </w:t>
      </w:r>
      <w:r w:rsidR="0069000E">
        <w:rPr>
          <w:lang w:eastAsia="ja-JP"/>
        </w:rPr>
        <w:t>=</w:t>
      </w:r>
      <w:r w:rsidR="008616DD">
        <w:rPr>
          <w:lang w:eastAsia="ja-JP"/>
        </w:rPr>
        <w:t> </w:t>
      </w:r>
      <w:r w:rsidR="0069000E">
        <w:rPr>
          <w:lang w:eastAsia="ja-JP"/>
        </w:rPr>
        <w:t>births per year) increases linearly with another variable (</w:t>
      </w:r>
      <w:r w:rsidR="0069000E" w:rsidRPr="0069000E">
        <w:rPr>
          <w:i/>
          <w:lang w:eastAsia="ja-JP"/>
        </w:rPr>
        <w:t>p</w:t>
      </w:r>
      <w:r w:rsidR="0069000E">
        <w:rPr>
          <w:lang w:eastAsia="ja-JP"/>
        </w:rPr>
        <w:t xml:space="preserve"> = existing population) is called a </w:t>
      </w:r>
      <w:r w:rsidR="0069000E" w:rsidRPr="0069000E">
        <w:rPr>
          <w:b/>
          <w:i/>
          <w:lang w:eastAsia="ja-JP"/>
        </w:rPr>
        <w:t>direct proportionality</w:t>
      </w:r>
      <w:r w:rsidR="0069000E">
        <w:rPr>
          <w:lang w:eastAsia="ja-JP"/>
        </w:rPr>
        <w:t>, and may be written</w:t>
      </w:r>
    </w:p>
    <w:p w:rsidR="0069000E" w:rsidRPr="00577FD7" w:rsidRDefault="0069000E" w:rsidP="0069000E">
      <w:pPr>
        <w:pStyle w:val="CenteredEquation"/>
        <w:rPr>
          <w:lang w:eastAsia="ja-JP"/>
        </w:rPr>
      </w:pPr>
      <w:r w:rsidRPr="0069000E">
        <w:rPr>
          <w:position w:val="-10"/>
          <w:lang w:eastAsia="ja-JP"/>
        </w:rPr>
        <w:object w:dxaOrig="20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5.75pt" o:ole="">
            <v:imagedata r:id="rId7" o:title=""/>
          </v:shape>
          <o:OLEObject Type="Embed" ProgID="Equation.DSMT4" ShapeID="_x0000_i1025" DrawAspect="Content" ObjectID="_1577379628" r:id="rId8"/>
        </w:object>
      </w:r>
    </w:p>
    <w:p w:rsidR="00FB681F" w:rsidRDefault="0069000E" w:rsidP="00FB681F">
      <w:pPr>
        <w:rPr>
          <w:lang w:eastAsia="ja-JP"/>
        </w:rPr>
      </w:pPr>
      <w:r>
        <w:rPr>
          <w:lang w:eastAsia="ja-JP"/>
        </w:rPr>
        <w:t xml:space="preserve">where </w:t>
      </w:r>
      <w:r w:rsidR="008616DD">
        <w:rPr>
          <w:lang w:eastAsia="ja-JP"/>
        </w:rPr>
        <w:t xml:space="preserve">the symbol </w:t>
      </w:r>
      <w:r w:rsidR="008616DD" w:rsidRPr="008616DD">
        <w:rPr>
          <w:position w:val="-4"/>
          <w:lang w:eastAsia="ja-JP"/>
        </w:rPr>
        <w:object w:dxaOrig="240" w:dyaOrig="200">
          <v:shape id="_x0000_i1026" type="#_x0000_t75" style="width:12pt;height:9.75pt" o:ole="">
            <v:imagedata r:id="rId9" o:title=""/>
          </v:shape>
          <o:OLEObject Type="Embed" ProgID="Equation.DSMT4" ShapeID="_x0000_i1026" DrawAspect="Content" ObjectID="_1577379629" r:id="rId10"/>
        </w:object>
      </w:r>
      <w:r w:rsidR="008616DD">
        <w:rPr>
          <w:lang w:eastAsia="ja-JP"/>
        </w:rPr>
        <w:t xml:space="preserve"> is read “proportional to,” and </w:t>
      </w:r>
      <w:r w:rsidR="008616DD" w:rsidRPr="008616DD">
        <w:rPr>
          <w:i/>
          <w:lang w:eastAsia="ja-JP"/>
        </w:rPr>
        <w:t>k</w:t>
      </w:r>
      <w:r w:rsidR="008616DD">
        <w:rPr>
          <w:lang w:eastAsia="ja-JP"/>
        </w:rPr>
        <w:t xml:space="preserve"> is a positive constant (the birth rate). Because the number of births represents a change in the existing population, the number of births </w:t>
      </w:r>
      <w:r w:rsidR="008616DD" w:rsidRPr="008616DD">
        <w:rPr>
          <w:i/>
          <w:lang w:eastAsia="ja-JP"/>
        </w:rPr>
        <w:t>per year</w:t>
      </w:r>
      <w:r w:rsidR="008616DD">
        <w:rPr>
          <w:lang w:eastAsia="ja-JP"/>
        </w:rPr>
        <w:t xml:space="preserve"> represents the </w:t>
      </w:r>
      <w:r w:rsidR="008616DD" w:rsidRPr="008616DD">
        <w:rPr>
          <w:i/>
          <w:lang w:eastAsia="ja-JP"/>
        </w:rPr>
        <w:t>rate of change</w:t>
      </w:r>
      <w:r w:rsidR="008616DD">
        <w:rPr>
          <w:lang w:eastAsia="ja-JP"/>
        </w:rPr>
        <w:t xml:space="preserve"> of </w:t>
      </w:r>
      <w:r w:rsidR="008616DD" w:rsidRPr="008616DD">
        <w:rPr>
          <w:i/>
          <w:lang w:eastAsia="ja-JP"/>
        </w:rPr>
        <w:t>p</w:t>
      </w:r>
      <w:r w:rsidR="008616DD" w:rsidRPr="008616DD">
        <w:rPr>
          <w:lang w:eastAsia="ja-JP"/>
        </w:rPr>
        <w:t xml:space="preserve">; </w:t>
      </w:r>
      <w:r w:rsidR="008616DD">
        <w:rPr>
          <w:lang w:eastAsia="ja-JP"/>
        </w:rPr>
        <w:t xml:space="preserve">written symbolically, </w:t>
      </w:r>
      <w:r w:rsidR="008616DD" w:rsidRPr="008616DD">
        <w:rPr>
          <w:position w:val="-24"/>
          <w:lang w:eastAsia="ja-JP"/>
        </w:rPr>
        <w:object w:dxaOrig="720" w:dyaOrig="620">
          <v:shape id="_x0000_i1027" type="#_x0000_t75" style="width:36pt;height:30.75pt" o:ole="">
            <v:imagedata r:id="rId11" o:title=""/>
          </v:shape>
          <o:OLEObject Type="Embed" ProgID="Equation.DSMT4" ShapeID="_x0000_i1027" DrawAspect="Content" ObjectID="_1577379630" r:id="rId12"/>
        </w:object>
      </w:r>
      <w:r w:rsidR="008616DD">
        <w:rPr>
          <w:lang w:eastAsia="ja-JP"/>
        </w:rPr>
        <w:t>. The last equation above becomes (with this substitution)</w:t>
      </w:r>
    </w:p>
    <w:p w:rsidR="008616DD" w:rsidRDefault="008616DD" w:rsidP="008616DD">
      <w:pPr>
        <w:pStyle w:val="CenteredEquation"/>
        <w:rPr>
          <w:lang w:eastAsia="ja-JP"/>
        </w:rPr>
      </w:pPr>
      <w:r w:rsidRPr="008616DD">
        <w:rPr>
          <w:position w:val="-24"/>
          <w:lang w:eastAsia="ja-JP"/>
        </w:rPr>
        <w:object w:dxaOrig="840" w:dyaOrig="620">
          <v:shape id="_x0000_i1028" type="#_x0000_t75" style="width:42pt;height:30.75pt" o:ole="">
            <v:imagedata r:id="rId13" o:title=""/>
          </v:shape>
          <o:OLEObject Type="Embed" ProgID="Equation.DSMT4" ShapeID="_x0000_i1028" DrawAspect="Content" ObjectID="_1577379631" r:id="rId14"/>
        </w:object>
      </w:r>
    </w:p>
    <w:p w:rsidR="00B367B8" w:rsidRDefault="00B367B8" w:rsidP="00B367B8">
      <w:pPr>
        <w:rPr>
          <w:lang w:eastAsia="ja-JP"/>
        </w:rPr>
      </w:pPr>
      <w:r>
        <w:rPr>
          <w:lang w:eastAsia="ja-JP"/>
        </w:rPr>
        <w:t xml:space="preserve">and a new ODE is born. A </w:t>
      </w:r>
      <w:r w:rsidR="00D94269">
        <w:rPr>
          <w:lang w:eastAsia="ja-JP"/>
        </w:rPr>
        <w:t>higher-resolution</w:t>
      </w:r>
      <w:r>
        <w:rPr>
          <w:lang w:eastAsia="ja-JP"/>
        </w:rPr>
        <w:t xml:space="preserve"> model might add other variables </w:t>
      </w:r>
      <w:r w:rsidR="00AA25CB">
        <w:rPr>
          <w:lang w:eastAsia="ja-JP"/>
        </w:rPr>
        <w:t xml:space="preserve">and equations </w:t>
      </w:r>
      <w:r>
        <w:rPr>
          <w:lang w:eastAsia="ja-JP"/>
        </w:rPr>
        <w:t>to represent death rates, migration rates, and other smaller effects on the population level. Later in the course, we will solve the equations produced by our models, but for now it is sufficient to write the equation, and so this simple model is complete.</w:t>
      </w:r>
    </w:p>
    <w:p w:rsidR="00316695" w:rsidRDefault="00B367B8" w:rsidP="00B367B8">
      <w:pPr>
        <w:rPr>
          <w:lang w:eastAsia="ja-JP"/>
        </w:rPr>
      </w:pPr>
      <w:r w:rsidRPr="00B367B8">
        <w:rPr>
          <w:u w:val="single"/>
          <w:lang w:eastAsia="ja-JP"/>
        </w:rPr>
        <w:t>Radioactive decay</w:t>
      </w:r>
      <w:r>
        <w:rPr>
          <w:lang w:eastAsia="ja-JP"/>
        </w:rPr>
        <w:t>. Radioactivity, although a completely different process</w:t>
      </w:r>
      <w:r w:rsidR="00380BC7">
        <w:rPr>
          <w:lang w:eastAsia="ja-JP"/>
        </w:rPr>
        <w:t xml:space="preserve"> from population growth</w:t>
      </w:r>
      <w:r>
        <w:rPr>
          <w:lang w:eastAsia="ja-JP"/>
        </w:rPr>
        <w:t xml:space="preserve">, may be modeled by essentially the same ODE. If Lump A of plutonium has a mass of 10 grams, and Lump B of plutonium has a mass of 80 grams, it </w:t>
      </w:r>
      <w:r w:rsidR="00A74E3B">
        <w:rPr>
          <w:lang w:eastAsia="ja-JP"/>
        </w:rPr>
        <w:t>seems</w:t>
      </w:r>
      <w:r>
        <w:rPr>
          <w:lang w:eastAsia="ja-JP"/>
        </w:rPr>
        <w:t xml:space="preserve"> reasonable to expect that Lump B will </w:t>
      </w:r>
      <w:r w:rsidR="00316695">
        <w:rPr>
          <w:lang w:eastAsia="ja-JP"/>
        </w:rPr>
        <w:t>exhibit eight times more radioactivity</w:t>
      </w:r>
      <w:r>
        <w:rPr>
          <w:lang w:eastAsia="ja-JP"/>
        </w:rPr>
        <w:t xml:space="preserve"> than Lump A. </w:t>
      </w:r>
      <w:r w:rsidR="00316695">
        <w:rPr>
          <w:lang w:eastAsia="ja-JP"/>
        </w:rPr>
        <w:t xml:space="preserve">We let time </w:t>
      </w:r>
      <w:proofErr w:type="spellStart"/>
      <w:r w:rsidR="00316695" w:rsidRPr="00316695">
        <w:rPr>
          <w:i/>
          <w:lang w:eastAsia="ja-JP"/>
        </w:rPr>
        <w:t>t</w:t>
      </w:r>
      <w:proofErr w:type="spellEnd"/>
      <w:r w:rsidR="00316695">
        <w:rPr>
          <w:lang w:eastAsia="ja-JP"/>
        </w:rPr>
        <w:t xml:space="preserve"> be the independent variable, and let the mass </w:t>
      </w:r>
      <w:r w:rsidR="00316695" w:rsidRPr="00316695">
        <w:rPr>
          <w:i/>
          <w:lang w:eastAsia="ja-JP"/>
        </w:rPr>
        <w:t>m</w:t>
      </w:r>
      <w:r w:rsidR="00316695">
        <w:rPr>
          <w:lang w:eastAsia="ja-JP"/>
        </w:rPr>
        <w:t xml:space="preserve"> of plutonium in the lump be the dependent variable. The level of radioactivity (number of nuclear decays per second, or </w:t>
      </w:r>
      <w:r w:rsidR="00382582">
        <w:rPr>
          <w:i/>
          <w:lang w:eastAsia="ja-JP"/>
        </w:rPr>
        <w:t>r</w:t>
      </w:r>
      <w:r w:rsidR="00316695">
        <w:rPr>
          <w:lang w:eastAsia="ja-JP"/>
        </w:rPr>
        <w:t xml:space="preserve">) is therefore directly proportional to the mass </w:t>
      </w:r>
      <w:r w:rsidR="00316695" w:rsidRPr="00316695">
        <w:rPr>
          <w:i/>
          <w:lang w:eastAsia="ja-JP"/>
        </w:rPr>
        <w:t>m</w:t>
      </w:r>
      <w:r w:rsidR="00316695">
        <w:rPr>
          <w:lang w:eastAsia="ja-JP"/>
        </w:rPr>
        <w:t>, and we may write</w:t>
      </w:r>
    </w:p>
    <w:p w:rsidR="00316695" w:rsidRDefault="00382582" w:rsidP="00316695">
      <w:pPr>
        <w:pStyle w:val="CenteredEquation"/>
        <w:rPr>
          <w:lang w:eastAsia="ja-JP"/>
        </w:rPr>
      </w:pPr>
      <w:r w:rsidRPr="00316695">
        <w:rPr>
          <w:position w:val="-6"/>
          <w:lang w:eastAsia="ja-JP"/>
        </w:rPr>
        <w:object w:dxaOrig="2060" w:dyaOrig="279">
          <v:shape id="_x0000_i1051" type="#_x0000_t75" style="width:103.5pt;height:14.25pt" o:ole="">
            <v:imagedata r:id="rId15" o:title=""/>
          </v:shape>
          <o:OLEObject Type="Embed" ProgID="Equation.DSMT4" ShapeID="_x0000_i1051" DrawAspect="Content" ObjectID="_1577379632" r:id="rId16"/>
        </w:object>
      </w:r>
    </w:p>
    <w:p w:rsidR="00B367B8" w:rsidRDefault="00B367B8" w:rsidP="00316695">
      <w:pPr>
        <w:rPr>
          <w:lang w:eastAsia="ja-JP"/>
        </w:rPr>
      </w:pPr>
      <w:r>
        <w:rPr>
          <w:lang w:eastAsia="ja-JP"/>
        </w:rPr>
        <w:lastRenderedPageBreak/>
        <w:t xml:space="preserve">Since each decay (that is, each “click” of the Geiger counter) represents a plutonium nucleus spontaneously changing into another </w:t>
      </w:r>
      <w:r w:rsidR="00316695">
        <w:rPr>
          <w:lang w:eastAsia="ja-JP"/>
        </w:rPr>
        <w:t xml:space="preserve">type of </w:t>
      </w:r>
      <w:r>
        <w:rPr>
          <w:lang w:eastAsia="ja-JP"/>
        </w:rPr>
        <w:t>nucleus, the mass of plutonium in each lump is decreasing over time</w:t>
      </w:r>
      <w:r w:rsidR="00316695">
        <w:rPr>
          <w:lang w:eastAsia="ja-JP"/>
        </w:rPr>
        <w:t xml:space="preserve">, at a rate </w:t>
      </w:r>
      <w:r w:rsidR="00316695" w:rsidRPr="00316695">
        <w:rPr>
          <w:position w:val="-24"/>
          <w:lang w:eastAsia="ja-JP"/>
        </w:rPr>
        <w:object w:dxaOrig="400" w:dyaOrig="620">
          <v:shape id="_x0000_i1030" type="#_x0000_t75" style="width:20.25pt;height:30.75pt" o:ole="">
            <v:imagedata r:id="rId17" o:title=""/>
          </v:shape>
          <o:OLEObject Type="Embed" ProgID="Equation.DSMT4" ShapeID="_x0000_i1030" DrawAspect="Content" ObjectID="_1577379633" r:id="rId18"/>
        </w:object>
      </w:r>
      <w:r w:rsidR="00316695">
        <w:rPr>
          <w:lang w:eastAsia="ja-JP"/>
        </w:rPr>
        <w:t xml:space="preserve"> that is equal to the decay rate </w:t>
      </w:r>
      <w:r w:rsidR="00382582">
        <w:rPr>
          <w:i/>
          <w:lang w:eastAsia="ja-JP"/>
        </w:rPr>
        <w:t>r</w:t>
      </w:r>
      <w:r>
        <w:rPr>
          <w:lang w:eastAsia="ja-JP"/>
        </w:rPr>
        <w:t xml:space="preserve">. </w:t>
      </w:r>
      <w:r w:rsidR="00316695">
        <w:rPr>
          <w:lang w:eastAsia="ja-JP"/>
        </w:rPr>
        <w:t xml:space="preserve">Replacing </w:t>
      </w:r>
      <w:r w:rsidR="00382582">
        <w:rPr>
          <w:i/>
          <w:lang w:eastAsia="ja-JP"/>
        </w:rPr>
        <w:t>r</w:t>
      </w:r>
      <w:r w:rsidR="00316695">
        <w:rPr>
          <w:lang w:eastAsia="ja-JP"/>
        </w:rPr>
        <w:t xml:space="preserve"> with </w:t>
      </w:r>
      <w:r w:rsidR="00316695" w:rsidRPr="00316695">
        <w:rPr>
          <w:position w:val="-24"/>
          <w:lang w:eastAsia="ja-JP"/>
        </w:rPr>
        <w:object w:dxaOrig="400" w:dyaOrig="620">
          <v:shape id="_x0000_i1031" type="#_x0000_t75" style="width:20.25pt;height:30.75pt" o:ole="">
            <v:imagedata r:id="rId17" o:title=""/>
          </v:shape>
          <o:OLEObject Type="Embed" ProgID="Equation.DSMT4" ShapeID="_x0000_i1031" DrawAspect="Content" ObjectID="_1577379634" r:id="rId19"/>
        </w:object>
      </w:r>
      <w:r w:rsidR="00316695">
        <w:rPr>
          <w:lang w:eastAsia="ja-JP"/>
        </w:rPr>
        <w:t xml:space="preserve"> above gives</w:t>
      </w:r>
    </w:p>
    <w:p w:rsidR="00316695" w:rsidRDefault="00316695" w:rsidP="00316695">
      <w:pPr>
        <w:pStyle w:val="CenteredEquation"/>
        <w:rPr>
          <w:lang w:eastAsia="ja-JP"/>
        </w:rPr>
      </w:pPr>
      <w:r w:rsidRPr="00316695">
        <w:rPr>
          <w:position w:val="-24"/>
          <w:lang w:eastAsia="ja-JP"/>
        </w:rPr>
        <w:object w:dxaOrig="920" w:dyaOrig="620">
          <v:shape id="_x0000_i1032" type="#_x0000_t75" style="width:45.75pt;height:30.75pt" o:ole="">
            <v:imagedata r:id="rId20" o:title=""/>
          </v:shape>
          <o:OLEObject Type="Embed" ProgID="Equation.DSMT4" ShapeID="_x0000_i1032" DrawAspect="Content" ObjectID="_1577379635" r:id="rId21"/>
        </w:object>
      </w:r>
    </w:p>
    <w:p w:rsidR="00316695" w:rsidRDefault="00316695" w:rsidP="00316695">
      <w:pPr>
        <w:rPr>
          <w:lang w:eastAsia="ja-JP"/>
        </w:rPr>
      </w:pPr>
      <w:r>
        <w:rPr>
          <w:lang w:eastAsia="ja-JP"/>
        </w:rPr>
        <w:t xml:space="preserve">where </w:t>
      </w:r>
      <w:r w:rsidRPr="00316695">
        <w:rPr>
          <w:i/>
          <w:lang w:eastAsia="ja-JP"/>
        </w:rPr>
        <w:t>k</w:t>
      </w:r>
      <w:r>
        <w:rPr>
          <w:lang w:eastAsia="ja-JP"/>
        </w:rPr>
        <w:t xml:space="preserve"> is a constant related to the decay rate. The only difference between this and the population model is that</w:t>
      </w:r>
      <w:r w:rsidR="00FA28DE">
        <w:rPr>
          <w:lang w:eastAsia="ja-JP"/>
        </w:rPr>
        <w:t>,</w:t>
      </w:r>
      <w:r>
        <w:rPr>
          <w:lang w:eastAsia="ja-JP"/>
        </w:rPr>
        <w:t xml:space="preserve"> since </w:t>
      </w:r>
      <w:r w:rsidRPr="00316695">
        <w:rPr>
          <w:i/>
          <w:lang w:eastAsia="ja-JP"/>
        </w:rPr>
        <w:t>m</w:t>
      </w:r>
      <w:r>
        <w:rPr>
          <w:lang w:eastAsia="ja-JP"/>
        </w:rPr>
        <w:t xml:space="preserve"> is decreasing with the passage of time, </w:t>
      </w:r>
      <w:r w:rsidR="00FA28DE" w:rsidRPr="00FA28DE">
        <w:rPr>
          <w:position w:val="-14"/>
          <w:lang w:eastAsia="ja-JP"/>
        </w:rPr>
        <w:object w:dxaOrig="540" w:dyaOrig="400">
          <v:shape id="_x0000_i1033" type="#_x0000_t75" style="width:27pt;height:20.25pt" o:ole="">
            <v:imagedata r:id="rId22" o:title=""/>
          </v:shape>
          <o:OLEObject Type="Embed" ProgID="Equation.DSMT4" ShapeID="_x0000_i1033" DrawAspect="Content" ObjectID="_1577379636" r:id="rId23"/>
        </w:object>
      </w:r>
      <w:r w:rsidR="00FA28DE">
        <w:rPr>
          <w:lang w:eastAsia="ja-JP"/>
        </w:rPr>
        <w:t xml:space="preserve"> </w:t>
      </w:r>
      <w:r>
        <w:rPr>
          <w:lang w:eastAsia="ja-JP"/>
        </w:rPr>
        <w:t xml:space="preserve">is necessarily a decreasing function, which means </w:t>
      </w:r>
      <w:r w:rsidR="00FA28DE" w:rsidRPr="00316695">
        <w:rPr>
          <w:position w:val="-24"/>
          <w:lang w:eastAsia="ja-JP"/>
        </w:rPr>
        <w:object w:dxaOrig="400" w:dyaOrig="620">
          <v:shape id="_x0000_i1034" type="#_x0000_t75" style="width:20.25pt;height:30.75pt" o:ole="">
            <v:imagedata r:id="rId24" o:title=""/>
          </v:shape>
          <o:OLEObject Type="Embed" ProgID="Equation.DSMT4" ShapeID="_x0000_i1034" DrawAspect="Content" ObjectID="_1577379637" r:id="rId25"/>
        </w:object>
      </w:r>
      <w:r w:rsidR="00FA28DE">
        <w:rPr>
          <w:lang w:eastAsia="ja-JP"/>
        </w:rPr>
        <w:t xml:space="preserve">, and therefore </w:t>
      </w:r>
      <w:r w:rsidR="00FA28DE" w:rsidRPr="00FA28DE">
        <w:rPr>
          <w:i/>
          <w:lang w:eastAsia="ja-JP"/>
        </w:rPr>
        <w:t>k</w:t>
      </w:r>
      <w:r w:rsidR="00FA28DE">
        <w:rPr>
          <w:lang w:eastAsia="ja-JP"/>
        </w:rPr>
        <w:t>, are negative quantities in this context.</w:t>
      </w:r>
      <w:r w:rsidR="00380BC7">
        <w:rPr>
          <w:lang w:eastAsia="ja-JP"/>
        </w:rPr>
        <w:t xml:space="preserve"> Higher-resolution models might incorporate contributions to the radioactivity from non-plutonium </w:t>
      </w:r>
      <w:r w:rsidR="00382582">
        <w:rPr>
          <w:lang w:eastAsia="ja-JP"/>
        </w:rPr>
        <w:t>contaminants</w:t>
      </w:r>
      <w:r w:rsidR="00380BC7">
        <w:rPr>
          <w:lang w:eastAsia="ja-JP"/>
        </w:rPr>
        <w:t xml:space="preserve"> (</w:t>
      </w:r>
      <w:r w:rsidR="00382582" w:rsidRPr="00382582">
        <w:rPr>
          <w:i/>
          <w:lang w:eastAsia="ja-JP"/>
        </w:rPr>
        <w:t>e.g.</w:t>
      </w:r>
      <w:r w:rsidR="00382582">
        <w:rPr>
          <w:lang w:eastAsia="ja-JP"/>
        </w:rPr>
        <w:t xml:space="preserve">, </w:t>
      </w:r>
      <w:r w:rsidR="00380BC7">
        <w:rPr>
          <w:lang w:eastAsia="ja-JP"/>
        </w:rPr>
        <w:t xml:space="preserve">uranium, thorium, or unstable isotopes of lead) </w:t>
      </w:r>
      <w:r w:rsidR="00382582">
        <w:rPr>
          <w:lang w:eastAsia="ja-JP"/>
        </w:rPr>
        <w:t xml:space="preserve">in </w:t>
      </w:r>
      <w:r w:rsidR="00380BC7">
        <w:rPr>
          <w:lang w:eastAsia="ja-JP"/>
        </w:rPr>
        <w:t>the sample</w:t>
      </w:r>
      <w:r w:rsidR="00382582">
        <w:rPr>
          <w:lang w:eastAsia="ja-JP"/>
        </w:rPr>
        <w:t>.</w:t>
      </w:r>
    </w:p>
    <w:p w:rsidR="00AA2D29" w:rsidRDefault="00FA28DE" w:rsidP="00316695">
      <w:pPr>
        <w:rPr>
          <w:lang w:eastAsia="ja-JP"/>
        </w:rPr>
      </w:pPr>
      <w:r>
        <w:rPr>
          <w:u w:val="single"/>
          <w:lang w:eastAsia="ja-JP"/>
        </w:rPr>
        <w:t>Newton’s law of cooling</w:t>
      </w:r>
      <w:r>
        <w:rPr>
          <w:lang w:eastAsia="ja-JP"/>
        </w:rPr>
        <w:t xml:space="preserve">. This also involves a proportional relationship, but it is slightly more complicated than the previous examples. </w:t>
      </w:r>
      <w:r w:rsidR="000E1558">
        <w:rPr>
          <w:lang w:eastAsia="ja-JP"/>
        </w:rPr>
        <w:t xml:space="preserve">A </w:t>
      </w:r>
      <w:r>
        <w:rPr>
          <w:lang w:eastAsia="ja-JP"/>
        </w:rPr>
        <w:t>hot object is placed in a relatively temperate (</w:t>
      </w:r>
      <w:r w:rsidRPr="00AA2D29">
        <w:rPr>
          <w:i/>
          <w:lang w:eastAsia="ja-JP"/>
        </w:rPr>
        <w:t>i.e.</w:t>
      </w:r>
      <w:r>
        <w:rPr>
          <w:lang w:eastAsia="ja-JP"/>
        </w:rPr>
        <w:t>, room-temperature) environment, and allowed to cool naturally</w:t>
      </w:r>
      <w:r w:rsidR="00E054E0">
        <w:rPr>
          <w:lang w:eastAsia="ja-JP"/>
        </w:rPr>
        <w:t xml:space="preserve"> over time</w:t>
      </w:r>
      <w:r>
        <w:rPr>
          <w:lang w:eastAsia="ja-JP"/>
        </w:rPr>
        <w:t xml:space="preserve">. The hot object cools rather quickly at first, </w:t>
      </w:r>
      <w:r w:rsidR="00413243">
        <w:rPr>
          <w:lang w:eastAsia="ja-JP"/>
        </w:rPr>
        <w:t xml:space="preserve">due to the large difference between its temperature and that of the environment, </w:t>
      </w:r>
      <w:r>
        <w:rPr>
          <w:lang w:eastAsia="ja-JP"/>
        </w:rPr>
        <w:t>but the rate of change of its temperature gradually decreases as i</w:t>
      </w:r>
      <w:r w:rsidR="00AA2D29">
        <w:rPr>
          <w:lang w:eastAsia="ja-JP"/>
        </w:rPr>
        <w:t xml:space="preserve">t approaches room temperature. </w:t>
      </w:r>
      <w:r w:rsidR="000E1558">
        <w:rPr>
          <w:lang w:eastAsia="ja-JP"/>
        </w:rPr>
        <w:t>In the simplest models</w:t>
      </w:r>
      <w:r>
        <w:rPr>
          <w:lang w:eastAsia="ja-JP"/>
        </w:rPr>
        <w:t xml:space="preserve">, the room is assumed to be large enough that its temperature does not increase appreciably </w:t>
      </w:r>
      <w:r w:rsidR="00E054E0">
        <w:rPr>
          <w:lang w:eastAsia="ja-JP"/>
        </w:rPr>
        <w:t xml:space="preserve">as it </w:t>
      </w:r>
      <w:r w:rsidR="000E11E2">
        <w:rPr>
          <w:lang w:eastAsia="ja-JP"/>
        </w:rPr>
        <w:t xml:space="preserve">absorbs </w:t>
      </w:r>
      <w:r w:rsidR="00E054E0">
        <w:rPr>
          <w:lang w:eastAsia="ja-JP"/>
        </w:rPr>
        <w:t>the therma</w:t>
      </w:r>
      <w:r w:rsidR="000E11E2">
        <w:rPr>
          <w:lang w:eastAsia="ja-JP"/>
        </w:rPr>
        <w:t xml:space="preserve">l energy lost by the hot object; </w:t>
      </w:r>
      <w:r w:rsidR="000E1558">
        <w:rPr>
          <w:lang w:eastAsia="ja-JP"/>
        </w:rPr>
        <w:t xml:space="preserve">one of the homework problems asks you to develop </w:t>
      </w:r>
      <w:r w:rsidR="000E11E2">
        <w:rPr>
          <w:lang w:eastAsia="ja-JP"/>
        </w:rPr>
        <w:t xml:space="preserve">a higher-resolution model </w:t>
      </w:r>
      <w:r w:rsidR="000E1558">
        <w:rPr>
          <w:lang w:eastAsia="ja-JP"/>
        </w:rPr>
        <w:t xml:space="preserve">that </w:t>
      </w:r>
      <w:r w:rsidR="000E11E2">
        <w:rPr>
          <w:lang w:eastAsia="ja-JP"/>
        </w:rPr>
        <w:t>also adjust</w:t>
      </w:r>
      <w:r w:rsidR="000E1558">
        <w:rPr>
          <w:lang w:eastAsia="ja-JP"/>
        </w:rPr>
        <w:t>s</w:t>
      </w:r>
      <w:r w:rsidR="000E11E2">
        <w:rPr>
          <w:lang w:eastAsia="ja-JP"/>
        </w:rPr>
        <w:t xml:space="preserve"> for </w:t>
      </w:r>
      <w:r w:rsidR="000E1558">
        <w:rPr>
          <w:lang w:eastAsia="ja-JP"/>
        </w:rPr>
        <w:t>changes in room temperature</w:t>
      </w:r>
      <w:r w:rsidR="000E11E2">
        <w:rPr>
          <w:lang w:eastAsia="ja-JP"/>
        </w:rPr>
        <w:t>.</w:t>
      </w:r>
    </w:p>
    <w:p w:rsidR="00FA28DE" w:rsidRDefault="00E054E0" w:rsidP="00316695">
      <w:pPr>
        <w:rPr>
          <w:lang w:eastAsia="ja-JP"/>
        </w:rPr>
      </w:pPr>
      <w:r>
        <w:rPr>
          <w:lang w:eastAsia="ja-JP"/>
        </w:rPr>
        <w:t xml:space="preserve">The temperature of the once-hot object ceases to change once it becomes equal to the temperature of the surroundings. We let time </w:t>
      </w:r>
      <w:r w:rsidRPr="00E054E0">
        <w:rPr>
          <w:i/>
          <w:lang w:eastAsia="ja-JP"/>
        </w:rPr>
        <w:t>t</w:t>
      </w:r>
      <w:r>
        <w:rPr>
          <w:lang w:eastAsia="ja-JP"/>
        </w:rPr>
        <w:t xml:space="preserve"> be the independent variable, and the temperature </w:t>
      </w:r>
      <w:r w:rsidRPr="00E054E0">
        <w:rPr>
          <w:i/>
          <w:lang w:eastAsia="ja-JP"/>
        </w:rPr>
        <w:t>T</w:t>
      </w:r>
      <w:r>
        <w:rPr>
          <w:lang w:eastAsia="ja-JP"/>
        </w:rPr>
        <w:t xml:space="preserve"> of the hot object be the dependent variable. A third quantity </w:t>
      </w:r>
      <w:proofErr w:type="spellStart"/>
      <w:r w:rsidRPr="00E054E0">
        <w:rPr>
          <w:i/>
          <w:lang w:eastAsia="ja-JP"/>
        </w:rPr>
        <w:t>T</w:t>
      </w:r>
      <w:r>
        <w:rPr>
          <w:vertAlign w:val="subscript"/>
          <w:lang w:eastAsia="ja-JP"/>
        </w:rPr>
        <w:t>s</w:t>
      </w:r>
      <w:proofErr w:type="spellEnd"/>
      <w:r>
        <w:rPr>
          <w:lang w:eastAsia="ja-JP"/>
        </w:rPr>
        <w:t xml:space="preserve"> (the temperature of the surroundings) is also involved</w:t>
      </w:r>
      <w:r w:rsidR="000E1558">
        <w:rPr>
          <w:lang w:eastAsia="ja-JP"/>
        </w:rPr>
        <w:t xml:space="preserve">. In a </w:t>
      </w:r>
      <w:r w:rsidR="00AA2D29">
        <w:rPr>
          <w:lang w:eastAsia="ja-JP"/>
        </w:rPr>
        <w:t xml:space="preserve">low-resolution </w:t>
      </w:r>
      <w:r w:rsidR="000E1558">
        <w:rPr>
          <w:lang w:eastAsia="ja-JP"/>
        </w:rPr>
        <w:t>model</w:t>
      </w:r>
      <w:r>
        <w:rPr>
          <w:lang w:eastAsia="ja-JP"/>
        </w:rPr>
        <w:t xml:space="preserve">, </w:t>
      </w:r>
      <w:r w:rsidR="000E1558">
        <w:rPr>
          <w:lang w:eastAsia="ja-JP"/>
        </w:rPr>
        <w:t>this i</w:t>
      </w:r>
      <w:r>
        <w:rPr>
          <w:lang w:eastAsia="ja-JP"/>
        </w:rPr>
        <w:t>s a</w:t>
      </w:r>
      <w:r w:rsidR="00D54F4A">
        <w:rPr>
          <w:lang w:eastAsia="ja-JP"/>
        </w:rPr>
        <w:t>ssumed</w:t>
      </w:r>
      <w:r>
        <w:rPr>
          <w:lang w:eastAsia="ja-JP"/>
        </w:rPr>
        <w:t xml:space="preserve"> constant. Newton’s law posits that the rate of change of the hot object’s temperature is proportional to the difference between the hot object’s temperature and the temperature of the environment, or </w:t>
      </w:r>
      <w:r w:rsidRPr="00E054E0">
        <w:rPr>
          <w:position w:val="-24"/>
          <w:lang w:eastAsia="ja-JP"/>
        </w:rPr>
        <w:object w:dxaOrig="1400" w:dyaOrig="620">
          <v:shape id="_x0000_i1035" type="#_x0000_t75" style="width:69.75pt;height:30.75pt" o:ole="">
            <v:imagedata r:id="rId26" o:title=""/>
          </v:shape>
          <o:OLEObject Type="Embed" ProgID="Equation.DSMT4" ShapeID="_x0000_i1035" DrawAspect="Content" ObjectID="_1577379638" r:id="rId27"/>
        </w:object>
      </w:r>
      <w:r>
        <w:rPr>
          <w:lang w:eastAsia="ja-JP"/>
        </w:rPr>
        <w:t xml:space="preserve">. Replacing the proportionality symbol with an equals sign and a proportionality constant </w:t>
      </w:r>
      <w:r w:rsidRPr="00E054E0">
        <w:rPr>
          <w:i/>
          <w:lang w:eastAsia="ja-JP"/>
        </w:rPr>
        <w:t>k</w:t>
      </w:r>
      <w:r>
        <w:rPr>
          <w:lang w:eastAsia="ja-JP"/>
        </w:rPr>
        <w:t xml:space="preserve">, as in the preceding examples, gives </w:t>
      </w:r>
      <w:r w:rsidR="00D54F4A">
        <w:rPr>
          <w:lang w:eastAsia="ja-JP"/>
        </w:rPr>
        <w:t>a</w:t>
      </w:r>
      <w:r>
        <w:rPr>
          <w:lang w:eastAsia="ja-JP"/>
        </w:rPr>
        <w:t xml:space="preserve"> model </w:t>
      </w:r>
      <w:r w:rsidR="00D54F4A">
        <w:rPr>
          <w:lang w:eastAsia="ja-JP"/>
        </w:rPr>
        <w:t>ODE:</w:t>
      </w:r>
    </w:p>
    <w:p w:rsidR="00413243" w:rsidRDefault="00E054E0" w:rsidP="00413243">
      <w:pPr>
        <w:pStyle w:val="CenteredEquation"/>
        <w:rPr>
          <w:lang w:eastAsia="ja-JP"/>
        </w:rPr>
      </w:pPr>
      <w:r w:rsidRPr="00E054E0">
        <w:rPr>
          <w:position w:val="-24"/>
          <w:lang w:eastAsia="ja-JP"/>
        </w:rPr>
        <w:object w:dxaOrig="1540" w:dyaOrig="620">
          <v:shape id="_x0000_i1036" type="#_x0000_t75" style="width:77.25pt;height:30.75pt" o:ole="">
            <v:imagedata r:id="rId28" o:title=""/>
          </v:shape>
          <o:OLEObject Type="Embed" ProgID="Equation.DSMT4" ShapeID="_x0000_i1036" DrawAspect="Content" ObjectID="_1577379639" r:id="rId29"/>
        </w:object>
      </w:r>
    </w:p>
    <w:p w:rsidR="00413243" w:rsidRDefault="00413243" w:rsidP="00413243">
      <w:pPr>
        <w:rPr>
          <w:lang w:eastAsia="ja-JP"/>
        </w:rPr>
      </w:pPr>
      <w:r>
        <w:rPr>
          <w:lang w:eastAsia="ja-JP"/>
        </w:rPr>
        <w:t xml:space="preserve">The specific value of </w:t>
      </w:r>
      <w:r w:rsidRPr="00413243">
        <w:rPr>
          <w:i/>
          <w:lang w:eastAsia="ja-JP"/>
        </w:rPr>
        <w:t>k</w:t>
      </w:r>
      <w:r>
        <w:rPr>
          <w:lang w:eastAsia="ja-JP"/>
        </w:rPr>
        <w:t xml:space="preserve"> depends on the shape, size, and composition of the hot object, as well as the ability of the surrounding material to conduct, convect, or radiate thermal energy.</w:t>
      </w:r>
    </w:p>
    <w:p w:rsidR="006F55F4" w:rsidRDefault="000E11E2" w:rsidP="00413243">
      <w:pPr>
        <w:rPr>
          <w:lang w:eastAsia="ja-JP"/>
        </w:rPr>
      </w:pPr>
      <w:r w:rsidRPr="000E11E2">
        <w:rPr>
          <w:u w:val="single"/>
          <w:lang w:eastAsia="ja-JP"/>
        </w:rPr>
        <w:t>Series circuits</w:t>
      </w:r>
      <w:r>
        <w:rPr>
          <w:lang w:eastAsia="ja-JP"/>
        </w:rPr>
        <w:t xml:space="preserve">. This model describes the flow of electric charge in a single-loop circuit in which all the components (resistor, capacitor, and inductor) are connected in a straight line, like beads </w:t>
      </w:r>
      <w:r>
        <w:rPr>
          <w:lang w:eastAsia="ja-JP"/>
        </w:rPr>
        <w:lastRenderedPageBreak/>
        <w:t xml:space="preserve">on a string. Such circuits are typically studied in the latter half of Physics V05. The rate at which electric charges (typically electrons) pass a given point is called the </w:t>
      </w:r>
      <w:r>
        <w:rPr>
          <w:b/>
          <w:i/>
        </w:rPr>
        <w:t>electric c</w:t>
      </w:r>
      <w:r w:rsidRPr="000E11E2">
        <w:rPr>
          <w:b/>
          <w:i/>
        </w:rPr>
        <w:t>urrent</w:t>
      </w:r>
      <w:r>
        <w:rPr>
          <w:lang w:eastAsia="ja-JP"/>
        </w:rPr>
        <w:t xml:space="preserve">. The amount of </w:t>
      </w:r>
      <w:r w:rsidR="006F55F4">
        <w:rPr>
          <w:lang w:eastAsia="ja-JP"/>
        </w:rPr>
        <w:t xml:space="preserve">electric </w:t>
      </w:r>
      <w:r>
        <w:rPr>
          <w:lang w:eastAsia="ja-JP"/>
        </w:rPr>
        <w:t xml:space="preserve">charge may </w:t>
      </w:r>
      <w:r w:rsidR="00524167">
        <w:rPr>
          <w:lang w:eastAsia="ja-JP"/>
        </w:rPr>
        <w:t xml:space="preserve">be measured using the </w:t>
      </w:r>
      <w:r w:rsidR="00524167" w:rsidRPr="00524167">
        <w:rPr>
          <w:b/>
          <w:i/>
          <w:lang w:eastAsia="ja-JP"/>
        </w:rPr>
        <w:t>coulomb</w:t>
      </w:r>
      <w:r w:rsidR="00524167">
        <w:rPr>
          <w:lang w:eastAsia="ja-JP"/>
        </w:rPr>
        <w:t>,</w:t>
      </w:r>
      <w:r>
        <w:rPr>
          <w:lang w:eastAsia="ja-JP"/>
        </w:rPr>
        <w:t xml:space="preserve"> </w:t>
      </w:r>
      <w:r w:rsidR="006F55F4">
        <w:rPr>
          <w:lang w:eastAsia="ja-JP"/>
        </w:rPr>
        <w:t xml:space="preserve">a </w:t>
      </w:r>
      <w:r w:rsidR="00524167">
        <w:rPr>
          <w:lang w:eastAsia="ja-JP"/>
        </w:rPr>
        <w:t xml:space="preserve">large </w:t>
      </w:r>
      <w:r w:rsidR="006F55F4">
        <w:rPr>
          <w:lang w:eastAsia="ja-JP"/>
        </w:rPr>
        <w:t xml:space="preserve">unit </w:t>
      </w:r>
      <w:r>
        <w:rPr>
          <w:lang w:eastAsia="ja-JP"/>
        </w:rPr>
        <w:t xml:space="preserve">which </w:t>
      </w:r>
      <w:r w:rsidR="006F55F4">
        <w:rPr>
          <w:lang w:eastAsia="ja-JP"/>
        </w:rPr>
        <w:t xml:space="preserve">corresponds to the amount of charge carried by about </w:t>
      </w:r>
      <w:r w:rsidR="006F55F4" w:rsidRPr="006F55F4">
        <w:rPr>
          <w:position w:val="-6"/>
          <w:lang w:eastAsia="ja-JP"/>
        </w:rPr>
        <w:object w:dxaOrig="720" w:dyaOrig="320">
          <v:shape id="_x0000_i1037" type="#_x0000_t75" style="width:36pt;height:15.75pt" o:ole="">
            <v:imagedata r:id="rId30" o:title=""/>
          </v:shape>
          <o:OLEObject Type="Embed" ProgID="Equation.DSMT4" ShapeID="_x0000_i1037" DrawAspect="Content" ObjectID="_1577379640" r:id="rId31"/>
        </w:object>
      </w:r>
      <w:r w:rsidR="006F55F4">
        <w:rPr>
          <w:lang w:eastAsia="ja-JP"/>
        </w:rPr>
        <w:t xml:space="preserve"> protons (or the same number of electrons, if you </w:t>
      </w:r>
      <w:r w:rsidR="00F62120">
        <w:rPr>
          <w:lang w:eastAsia="ja-JP"/>
        </w:rPr>
        <w:t>disregard</w:t>
      </w:r>
      <w:r w:rsidR="006F55F4">
        <w:rPr>
          <w:lang w:eastAsia="ja-JP"/>
        </w:rPr>
        <w:t xml:space="preserve"> that </w:t>
      </w:r>
      <w:r w:rsidR="00524598">
        <w:rPr>
          <w:lang w:eastAsia="ja-JP"/>
        </w:rPr>
        <w:t>electrons</w:t>
      </w:r>
      <w:r w:rsidR="006F55F4">
        <w:rPr>
          <w:lang w:eastAsia="ja-JP"/>
        </w:rPr>
        <w:t xml:space="preserve"> carry a negative charge). If one coulomb of </w:t>
      </w:r>
      <w:r w:rsidR="00D54F4A">
        <w:rPr>
          <w:lang w:eastAsia="ja-JP"/>
        </w:rPr>
        <w:t xml:space="preserve">moving </w:t>
      </w:r>
      <w:r w:rsidR="006F55F4">
        <w:rPr>
          <w:lang w:eastAsia="ja-JP"/>
        </w:rPr>
        <w:t xml:space="preserve">charge passes </w:t>
      </w:r>
      <w:r w:rsidR="00AA2D29">
        <w:rPr>
          <w:lang w:eastAsia="ja-JP"/>
        </w:rPr>
        <w:t xml:space="preserve">by </w:t>
      </w:r>
      <w:r w:rsidR="006F55F4">
        <w:rPr>
          <w:lang w:eastAsia="ja-JP"/>
        </w:rPr>
        <w:t xml:space="preserve">a given point every second, then the </w:t>
      </w:r>
      <w:r w:rsidR="00524598">
        <w:rPr>
          <w:lang w:eastAsia="ja-JP"/>
        </w:rPr>
        <w:t xml:space="preserve">electric </w:t>
      </w:r>
      <w:r w:rsidR="006F55F4">
        <w:rPr>
          <w:lang w:eastAsia="ja-JP"/>
        </w:rPr>
        <w:t xml:space="preserve">current is said to have a value of one </w:t>
      </w:r>
      <w:r w:rsidR="00D54F4A" w:rsidRPr="00D54F4A">
        <w:rPr>
          <w:b/>
          <w:i/>
          <w:lang w:eastAsia="ja-JP"/>
        </w:rPr>
        <w:t>ampere</w:t>
      </w:r>
      <w:r w:rsidR="00D54F4A">
        <w:rPr>
          <w:lang w:eastAsia="ja-JP"/>
        </w:rPr>
        <w:t>.</w:t>
      </w:r>
      <w:r w:rsidR="00F105B1">
        <w:rPr>
          <w:lang w:eastAsia="ja-JP"/>
        </w:rPr>
        <w:t xml:space="preserve"> For this reason, we may say that</w:t>
      </w:r>
      <w:r w:rsidR="00F62120">
        <w:rPr>
          <w:lang w:eastAsia="ja-JP"/>
        </w:rPr>
        <w:t xml:space="preserve"> current is the time rate of change of charge, or</w:t>
      </w:r>
    </w:p>
    <w:p w:rsidR="00F105B1" w:rsidRDefault="00F62120" w:rsidP="00F105B1">
      <w:pPr>
        <w:pStyle w:val="CenteredEquation"/>
        <w:rPr>
          <w:lang w:eastAsia="ja-JP"/>
        </w:rPr>
      </w:pPr>
      <w:r w:rsidRPr="00F62120">
        <w:rPr>
          <w:position w:val="-24"/>
          <w:lang w:eastAsia="ja-JP"/>
        </w:rPr>
        <w:object w:dxaOrig="2260" w:dyaOrig="620">
          <v:shape id="_x0000_i1038" type="#_x0000_t75" style="width:113.25pt;height:30.75pt" o:ole="">
            <v:imagedata r:id="rId32" o:title=""/>
          </v:shape>
          <o:OLEObject Type="Embed" ProgID="Equation.DSMT4" ShapeID="_x0000_i1038" DrawAspect="Content" ObjectID="_1577379641" r:id="rId33"/>
        </w:object>
      </w:r>
    </w:p>
    <w:p w:rsidR="00413243" w:rsidRDefault="006F55F4" w:rsidP="00413243">
      <w:pPr>
        <w:rPr>
          <w:lang w:eastAsia="ja-JP"/>
        </w:rPr>
      </w:pPr>
      <w:r>
        <w:rPr>
          <w:lang w:eastAsia="ja-JP"/>
        </w:rPr>
        <w:t>(</w:t>
      </w:r>
      <w:r w:rsidR="00AA2D29">
        <w:rPr>
          <w:lang w:eastAsia="ja-JP"/>
        </w:rPr>
        <w:t>Aside</w:t>
      </w:r>
      <w:r>
        <w:rPr>
          <w:lang w:eastAsia="ja-JP"/>
        </w:rPr>
        <w:t>: some people like to say</w:t>
      </w:r>
      <w:r w:rsidR="00D54F4A">
        <w:rPr>
          <w:lang w:eastAsia="ja-JP"/>
        </w:rPr>
        <w:t xml:space="preserve"> things like</w:t>
      </w:r>
      <w:r w:rsidR="00F62120">
        <w:rPr>
          <w:lang w:eastAsia="ja-JP"/>
        </w:rPr>
        <w:t>,</w:t>
      </w:r>
      <w:r>
        <w:rPr>
          <w:lang w:eastAsia="ja-JP"/>
        </w:rPr>
        <w:t xml:space="preserve"> “</w:t>
      </w:r>
      <w:r w:rsidR="00D54F4A">
        <w:rPr>
          <w:lang w:eastAsia="ja-JP"/>
        </w:rPr>
        <w:t>Turn up the amperage (or amps)!</w:t>
      </w:r>
      <w:r>
        <w:rPr>
          <w:lang w:eastAsia="ja-JP"/>
        </w:rPr>
        <w:t>” when they really mean “</w:t>
      </w:r>
      <w:r w:rsidR="00D54F4A">
        <w:rPr>
          <w:lang w:eastAsia="ja-JP"/>
        </w:rPr>
        <w:t>Turn up the current!</w:t>
      </w:r>
      <w:r>
        <w:rPr>
          <w:lang w:eastAsia="ja-JP"/>
        </w:rPr>
        <w:t xml:space="preserve">” This language confuses a physical quantity with its corresponding unit, and is akin to </w:t>
      </w:r>
      <w:r w:rsidR="00F62120">
        <w:rPr>
          <w:lang w:eastAsia="ja-JP"/>
        </w:rPr>
        <w:t>asking,</w:t>
      </w:r>
      <w:r>
        <w:rPr>
          <w:lang w:eastAsia="ja-JP"/>
        </w:rPr>
        <w:t xml:space="preserve"> “</w:t>
      </w:r>
      <w:r w:rsidR="00F62120">
        <w:rPr>
          <w:lang w:eastAsia="ja-JP"/>
        </w:rPr>
        <w:t>W</w:t>
      </w:r>
      <w:r>
        <w:rPr>
          <w:lang w:eastAsia="ja-JP"/>
        </w:rPr>
        <w:t xml:space="preserve">hat is the </w:t>
      </w:r>
      <w:proofErr w:type="spellStart"/>
      <w:r>
        <w:rPr>
          <w:lang w:eastAsia="ja-JP"/>
        </w:rPr>
        <w:t>kilogrammage</w:t>
      </w:r>
      <w:proofErr w:type="spellEnd"/>
      <w:r>
        <w:rPr>
          <w:lang w:eastAsia="ja-JP"/>
        </w:rPr>
        <w:t xml:space="preserve"> of that boulder?” </w:t>
      </w:r>
      <w:r w:rsidR="00F62120">
        <w:rPr>
          <w:lang w:eastAsia="ja-JP"/>
        </w:rPr>
        <w:t>rather than</w:t>
      </w:r>
      <w:r>
        <w:rPr>
          <w:lang w:eastAsia="ja-JP"/>
        </w:rPr>
        <w:t xml:space="preserve"> “</w:t>
      </w:r>
      <w:r w:rsidR="00F62120">
        <w:rPr>
          <w:lang w:eastAsia="ja-JP"/>
        </w:rPr>
        <w:t>W</w:t>
      </w:r>
      <w:r>
        <w:rPr>
          <w:lang w:eastAsia="ja-JP"/>
        </w:rPr>
        <w:t>hat is the mass of that boulder?”</w:t>
      </w:r>
      <w:r w:rsidR="00D54F4A">
        <w:rPr>
          <w:lang w:eastAsia="ja-JP"/>
        </w:rPr>
        <w:t xml:space="preserve"> For an aspiring STEM professional, use of the word “amperage” </w:t>
      </w:r>
      <w:r w:rsidR="00AA2D29">
        <w:rPr>
          <w:lang w:eastAsia="ja-JP"/>
        </w:rPr>
        <w:t xml:space="preserve">is a bad habit which should </w:t>
      </w:r>
      <w:r w:rsidR="00D54F4A">
        <w:rPr>
          <w:lang w:eastAsia="ja-JP"/>
        </w:rPr>
        <w:t>be avoided.</w:t>
      </w:r>
      <w:r>
        <w:rPr>
          <w:lang w:eastAsia="ja-JP"/>
        </w:rPr>
        <w:t>)</w:t>
      </w:r>
    </w:p>
    <w:p w:rsidR="005D200A" w:rsidRDefault="005D200A" w:rsidP="00413243">
      <w:pPr>
        <w:rPr>
          <w:lang w:eastAsia="ja-JP"/>
        </w:rPr>
      </w:pPr>
      <w:r>
        <w:rPr>
          <w:lang w:eastAsia="ja-JP"/>
        </w:rPr>
        <w:t xml:space="preserve">It is traditional to use the variable </w:t>
      </w:r>
      <w:r w:rsidRPr="003520CD">
        <w:rPr>
          <w:i/>
          <w:lang w:eastAsia="ja-JP"/>
        </w:rPr>
        <w:t>q</w:t>
      </w:r>
      <w:r>
        <w:rPr>
          <w:lang w:eastAsia="ja-JP"/>
        </w:rPr>
        <w:t xml:space="preserve"> to represent charge, and </w:t>
      </w:r>
      <w:proofErr w:type="spellStart"/>
      <w:r w:rsidR="003520CD" w:rsidRPr="003520CD">
        <w:rPr>
          <w:i/>
          <w:lang w:eastAsia="ja-JP"/>
        </w:rPr>
        <w:t>i</w:t>
      </w:r>
      <w:proofErr w:type="spellEnd"/>
      <w:r w:rsidR="003520CD">
        <w:rPr>
          <w:lang w:eastAsia="ja-JP"/>
        </w:rPr>
        <w:t xml:space="preserve"> to represent current. </w:t>
      </w:r>
      <w:r w:rsidR="00524167">
        <w:rPr>
          <w:lang w:eastAsia="ja-JP"/>
        </w:rPr>
        <w:t xml:space="preserve">(Beware that electrical engineers use </w:t>
      </w:r>
      <w:r w:rsidR="00524167" w:rsidRPr="003520CD">
        <w:rPr>
          <w:i/>
          <w:lang w:eastAsia="ja-JP"/>
        </w:rPr>
        <w:t>j</w:t>
      </w:r>
      <w:r w:rsidR="00524167">
        <w:rPr>
          <w:lang w:eastAsia="ja-JP"/>
        </w:rPr>
        <w:t xml:space="preserve"> to represent </w:t>
      </w:r>
      <w:r w:rsidR="00524167" w:rsidRPr="003520CD">
        <w:rPr>
          <w:position w:val="-6"/>
          <w:lang w:eastAsia="ja-JP"/>
        </w:rPr>
        <w:object w:dxaOrig="480" w:dyaOrig="340">
          <v:shape id="_x0000_i1049" type="#_x0000_t75" style="width:24pt;height:17.25pt" o:ole="">
            <v:imagedata r:id="rId34" o:title=""/>
          </v:shape>
          <o:OLEObject Type="Embed" ProgID="Equation.DSMT4" ShapeID="_x0000_i1049" DrawAspect="Content" ObjectID="_1577379642" r:id="rId35"/>
        </w:object>
      </w:r>
      <w:r w:rsidR="00524167">
        <w:rPr>
          <w:lang w:eastAsia="ja-JP"/>
        </w:rPr>
        <w:t xml:space="preserve">, so as not to confuse this with current </w:t>
      </w:r>
      <w:proofErr w:type="spellStart"/>
      <w:r w:rsidR="00524167" w:rsidRPr="001C4A59">
        <w:rPr>
          <w:i/>
          <w:lang w:eastAsia="ja-JP"/>
        </w:rPr>
        <w:t>i</w:t>
      </w:r>
      <w:proofErr w:type="spellEnd"/>
      <w:r w:rsidR="00524167">
        <w:rPr>
          <w:lang w:eastAsia="ja-JP"/>
        </w:rPr>
        <w:t>.) T</w:t>
      </w:r>
      <w:r w:rsidR="003520CD">
        <w:rPr>
          <w:lang w:eastAsia="ja-JP"/>
        </w:rPr>
        <w:t>he above equation, written</w:t>
      </w:r>
      <w:r w:rsidR="00524167">
        <w:rPr>
          <w:lang w:eastAsia="ja-JP"/>
        </w:rPr>
        <w:t xml:space="preserve"> in terms of these variables, becomes</w:t>
      </w:r>
    </w:p>
    <w:p w:rsidR="003520CD" w:rsidRDefault="003520CD" w:rsidP="003520CD">
      <w:pPr>
        <w:pStyle w:val="CenteredEquation"/>
        <w:rPr>
          <w:lang w:eastAsia="ja-JP"/>
        </w:rPr>
      </w:pPr>
      <w:r w:rsidRPr="00F62120">
        <w:rPr>
          <w:position w:val="-24"/>
          <w:lang w:eastAsia="ja-JP"/>
        </w:rPr>
        <w:object w:dxaOrig="660" w:dyaOrig="620">
          <v:shape id="_x0000_i1039" type="#_x0000_t75" style="width:33pt;height:30.75pt" o:ole="">
            <v:imagedata r:id="rId36" o:title=""/>
          </v:shape>
          <o:OLEObject Type="Embed" ProgID="Equation.DSMT4" ShapeID="_x0000_i1039" DrawAspect="Content" ObjectID="_1577379643" r:id="rId37"/>
        </w:object>
      </w:r>
    </w:p>
    <w:p w:rsidR="006F55F4" w:rsidRDefault="006F55F4" w:rsidP="00413243">
      <w:pPr>
        <w:rPr>
          <w:lang w:eastAsia="ja-JP"/>
        </w:rPr>
      </w:pPr>
      <w:r>
        <w:rPr>
          <w:lang w:eastAsia="ja-JP"/>
        </w:rPr>
        <w:t>Electric charges move around a circuit due to differences in electrical potential energy, just as water in a river</w:t>
      </w:r>
      <w:r w:rsidR="00F105B1">
        <w:rPr>
          <w:lang w:eastAsia="ja-JP"/>
        </w:rPr>
        <w:t xml:space="preserve"> </w:t>
      </w:r>
      <w:r>
        <w:rPr>
          <w:lang w:eastAsia="ja-JP"/>
        </w:rPr>
        <w:t xml:space="preserve">moves around due to differences in gravitational potential energy. </w:t>
      </w:r>
      <w:r w:rsidR="00F105B1">
        <w:rPr>
          <w:lang w:eastAsia="ja-JP"/>
        </w:rPr>
        <w:t xml:space="preserve">Thinking in terms of gravitational potential energy, suppose you </w:t>
      </w:r>
      <w:r w:rsidR="00524167">
        <w:rPr>
          <w:lang w:eastAsia="ja-JP"/>
        </w:rPr>
        <w:t>we</w:t>
      </w:r>
      <w:r w:rsidR="00F105B1">
        <w:rPr>
          <w:lang w:eastAsia="ja-JP"/>
        </w:rPr>
        <w:t>re attending a conference in a hilly part of San Francisco. Early one morning you decide</w:t>
      </w:r>
      <w:r w:rsidR="00524167">
        <w:rPr>
          <w:lang w:eastAsia="ja-JP"/>
        </w:rPr>
        <w:t>d</w:t>
      </w:r>
      <w:r w:rsidR="00F105B1">
        <w:rPr>
          <w:lang w:eastAsia="ja-JP"/>
        </w:rPr>
        <w:t xml:space="preserve"> to exercise by walking around the block. Your gravitat</w:t>
      </w:r>
      <w:r w:rsidR="00524167">
        <w:rPr>
          <w:lang w:eastAsia="ja-JP"/>
        </w:rPr>
        <w:t>ional potential energy increased and decreased</w:t>
      </w:r>
      <w:r w:rsidR="00F105B1">
        <w:rPr>
          <w:lang w:eastAsia="ja-JP"/>
        </w:rPr>
        <w:t xml:space="preserve"> as you walk</w:t>
      </w:r>
      <w:r w:rsidR="00524167">
        <w:rPr>
          <w:lang w:eastAsia="ja-JP"/>
        </w:rPr>
        <w:t>ed</w:t>
      </w:r>
      <w:r w:rsidR="00F105B1">
        <w:rPr>
          <w:lang w:eastAsia="ja-JP"/>
        </w:rPr>
        <w:t xml:space="preserve"> up and down the hills. When you return</w:t>
      </w:r>
      <w:r w:rsidR="00524167">
        <w:rPr>
          <w:lang w:eastAsia="ja-JP"/>
        </w:rPr>
        <w:t>ed</w:t>
      </w:r>
      <w:r w:rsidR="00F105B1">
        <w:rPr>
          <w:lang w:eastAsia="ja-JP"/>
        </w:rPr>
        <w:t xml:space="preserve"> to your hotel, you </w:t>
      </w:r>
      <w:r w:rsidR="00524167">
        <w:rPr>
          <w:lang w:eastAsia="ja-JP"/>
        </w:rPr>
        <w:t>we</w:t>
      </w:r>
      <w:r w:rsidR="00F105B1">
        <w:rPr>
          <w:lang w:eastAsia="ja-JP"/>
        </w:rPr>
        <w:t xml:space="preserve">re at the same altitude or elevation as when you left. So, despite all the ups and downs </w:t>
      </w:r>
      <w:r w:rsidR="00F62120">
        <w:rPr>
          <w:lang w:eastAsia="ja-JP"/>
        </w:rPr>
        <w:t>involved in the walk</w:t>
      </w:r>
      <w:r w:rsidR="00F105B1">
        <w:rPr>
          <w:lang w:eastAsia="ja-JP"/>
        </w:rPr>
        <w:t xml:space="preserve">, there </w:t>
      </w:r>
      <w:r w:rsidR="00524167">
        <w:rPr>
          <w:lang w:eastAsia="ja-JP"/>
        </w:rPr>
        <w:t>wa</w:t>
      </w:r>
      <w:r w:rsidR="00F105B1">
        <w:rPr>
          <w:lang w:eastAsia="ja-JP"/>
        </w:rPr>
        <w:t xml:space="preserve">s </w:t>
      </w:r>
      <w:r w:rsidR="00F105B1" w:rsidRPr="00F62120">
        <w:rPr>
          <w:i/>
          <w:lang w:eastAsia="ja-JP"/>
        </w:rPr>
        <w:t>zero</w:t>
      </w:r>
      <w:r w:rsidR="00F105B1">
        <w:rPr>
          <w:lang w:eastAsia="ja-JP"/>
        </w:rPr>
        <w:t xml:space="preserve"> net change in your potential energy after you add</w:t>
      </w:r>
      <w:r w:rsidR="00524167">
        <w:rPr>
          <w:lang w:eastAsia="ja-JP"/>
        </w:rPr>
        <w:t>ed</w:t>
      </w:r>
      <w:r w:rsidR="00F105B1">
        <w:rPr>
          <w:lang w:eastAsia="ja-JP"/>
        </w:rPr>
        <w:t xml:space="preserve"> all the positive </w:t>
      </w:r>
      <w:r w:rsidR="005E4A79">
        <w:rPr>
          <w:lang w:eastAsia="ja-JP"/>
        </w:rPr>
        <w:t xml:space="preserve">(uphill) </w:t>
      </w:r>
      <w:r w:rsidR="00F105B1">
        <w:rPr>
          <w:lang w:eastAsia="ja-JP"/>
        </w:rPr>
        <w:t>and negative</w:t>
      </w:r>
      <w:r w:rsidR="005E4A79">
        <w:rPr>
          <w:lang w:eastAsia="ja-JP"/>
        </w:rPr>
        <w:t xml:space="preserve"> (downhill)</w:t>
      </w:r>
      <w:r w:rsidR="00524598">
        <w:rPr>
          <w:lang w:eastAsia="ja-JP"/>
        </w:rPr>
        <w:t xml:space="preserve"> changes along the way, </w:t>
      </w:r>
      <w:proofErr w:type="gramStart"/>
      <w:r w:rsidR="00524598">
        <w:rPr>
          <w:lang w:eastAsia="ja-JP"/>
        </w:rPr>
        <w:t>provided that</w:t>
      </w:r>
      <w:proofErr w:type="gramEnd"/>
      <w:r w:rsidR="00524598">
        <w:rPr>
          <w:lang w:eastAsia="ja-JP"/>
        </w:rPr>
        <w:t xml:space="preserve"> you traverse</w:t>
      </w:r>
      <w:r w:rsidR="00524167">
        <w:rPr>
          <w:lang w:eastAsia="ja-JP"/>
        </w:rPr>
        <w:t>d</w:t>
      </w:r>
      <w:r w:rsidR="00524598">
        <w:rPr>
          <w:lang w:eastAsia="ja-JP"/>
        </w:rPr>
        <w:t xml:space="preserve"> a complete loop.</w:t>
      </w:r>
    </w:p>
    <w:p w:rsidR="00F105B1" w:rsidRDefault="00F105B1" w:rsidP="00413243">
      <w:pPr>
        <w:rPr>
          <w:lang w:eastAsia="ja-JP"/>
        </w:rPr>
      </w:pPr>
      <w:r>
        <w:rPr>
          <w:lang w:eastAsia="ja-JP"/>
        </w:rPr>
        <w:t>Electric charges in a closed-loop circuit are subject to a similar rule. Passing through a circuit element (resistor, capacitor, inductor, or power supply) increases or decreases their electrical potential energy, according to simple rules that are well understood for each type of circuit element</w:t>
      </w:r>
      <w:r w:rsidR="00524167">
        <w:rPr>
          <w:lang w:eastAsia="ja-JP"/>
        </w:rPr>
        <w:t>.</w:t>
      </w:r>
      <w:r w:rsidR="00F62120">
        <w:rPr>
          <w:lang w:eastAsia="ja-JP"/>
        </w:rPr>
        <w:t xml:space="preserve"> </w:t>
      </w:r>
      <w:r w:rsidR="00524167">
        <w:rPr>
          <w:lang w:eastAsia="ja-JP"/>
        </w:rPr>
        <w:t>Y</w:t>
      </w:r>
      <w:r w:rsidR="00F62120">
        <w:rPr>
          <w:lang w:eastAsia="ja-JP"/>
        </w:rPr>
        <w:t xml:space="preserve">ou may think of these energy changes as “uphill” </w:t>
      </w:r>
      <w:r w:rsidR="005E4A79">
        <w:rPr>
          <w:lang w:eastAsia="ja-JP"/>
        </w:rPr>
        <w:t xml:space="preserve">(positive) </w:t>
      </w:r>
      <w:r w:rsidR="00F62120">
        <w:rPr>
          <w:lang w:eastAsia="ja-JP"/>
        </w:rPr>
        <w:t>or “downhill”</w:t>
      </w:r>
      <w:r w:rsidR="005E4A79">
        <w:rPr>
          <w:lang w:eastAsia="ja-JP"/>
        </w:rPr>
        <w:t xml:space="preserve"> (negative)</w:t>
      </w:r>
      <w:r>
        <w:rPr>
          <w:lang w:eastAsia="ja-JP"/>
        </w:rPr>
        <w:t>. However, an electron that returns to its starting point in a loop circuit has the same potential energy at the end of its “walk around the block” as it did when it started</w:t>
      </w:r>
      <w:r w:rsidR="005E4A79">
        <w:rPr>
          <w:lang w:eastAsia="ja-JP"/>
        </w:rPr>
        <w:t xml:space="preserve">; it’s at the same </w:t>
      </w:r>
      <w:r w:rsidR="00524167">
        <w:rPr>
          <w:lang w:eastAsia="ja-JP"/>
        </w:rPr>
        <w:t>location</w:t>
      </w:r>
      <w:r w:rsidR="005E4A79">
        <w:rPr>
          <w:lang w:eastAsia="ja-JP"/>
        </w:rPr>
        <w:t>, so it has the same “electrical elevation</w:t>
      </w:r>
      <w:r>
        <w:rPr>
          <w:lang w:eastAsia="ja-JP"/>
        </w:rPr>
        <w:t>.</w:t>
      </w:r>
      <w:r w:rsidR="005E4A79">
        <w:rPr>
          <w:lang w:eastAsia="ja-JP"/>
        </w:rPr>
        <w:t>”</w:t>
      </w:r>
      <w:r>
        <w:rPr>
          <w:lang w:eastAsia="ja-JP"/>
        </w:rPr>
        <w:t xml:space="preserve"> </w:t>
      </w:r>
      <w:r w:rsidR="005E4A79">
        <w:rPr>
          <w:lang w:eastAsia="ja-JP"/>
        </w:rPr>
        <w:t>O</w:t>
      </w:r>
      <w:r>
        <w:rPr>
          <w:lang w:eastAsia="ja-JP"/>
        </w:rPr>
        <w:t xml:space="preserve">ur </w:t>
      </w:r>
      <w:r w:rsidR="00F62120">
        <w:rPr>
          <w:lang w:eastAsia="ja-JP"/>
        </w:rPr>
        <w:t xml:space="preserve">model </w:t>
      </w:r>
      <w:r w:rsidR="005E4A79">
        <w:rPr>
          <w:lang w:eastAsia="ja-JP"/>
        </w:rPr>
        <w:t xml:space="preserve">will therefore </w:t>
      </w:r>
      <w:r w:rsidR="00F62120">
        <w:rPr>
          <w:lang w:eastAsia="ja-JP"/>
        </w:rPr>
        <w:t>require the sum of all potential energy changes around a closed</w:t>
      </w:r>
      <w:r w:rsidR="005E4A79">
        <w:rPr>
          <w:lang w:eastAsia="ja-JP"/>
        </w:rPr>
        <w:t>-</w:t>
      </w:r>
      <w:r w:rsidR="00F62120">
        <w:rPr>
          <w:lang w:eastAsia="ja-JP"/>
        </w:rPr>
        <w:t xml:space="preserve">loop </w:t>
      </w:r>
      <w:r w:rsidR="005E4A79">
        <w:rPr>
          <w:lang w:eastAsia="ja-JP"/>
        </w:rPr>
        <w:t xml:space="preserve">circuit </w:t>
      </w:r>
      <w:r w:rsidR="00F62120">
        <w:rPr>
          <w:lang w:eastAsia="ja-JP"/>
        </w:rPr>
        <w:t>to be zero</w:t>
      </w:r>
      <w:r w:rsidR="00C42EED">
        <w:rPr>
          <w:lang w:eastAsia="ja-JP"/>
        </w:rPr>
        <w:t xml:space="preserve"> (Kirchhoff’s loop theorem)</w:t>
      </w:r>
      <w:r w:rsidR="00F62120">
        <w:rPr>
          <w:lang w:eastAsia="ja-JP"/>
        </w:rPr>
        <w:t>.</w:t>
      </w:r>
      <w:r w:rsidR="005E4A79">
        <w:rPr>
          <w:lang w:eastAsia="ja-JP"/>
        </w:rPr>
        <w:t xml:space="preserve"> In the language normally used to describe electrical circuits, these potential energy changes (even the </w:t>
      </w:r>
      <w:r w:rsidR="00782768">
        <w:rPr>
          <w:lang w:eastAsia="ja-JP"/>
        </w:rPr>
        <w:t xml:space="preserve">“uphill” or </w:t>
      </w:r>
      <w:r w:rsidR="005E4A79">
        <w:rPr>
          <w:lang w:eastAsia="ja-JP"/>
        </w:rPr>
        <w:t xml:space="preserve">positive ones) are called </w:t>
      </w:r>
      <w:r w:rsidR="005E4A79" w:rsidRPr="005E4A79">
        <w:rPr>
          <w:b/>
          <w:i/>
          <w:lang w:eastAsia="ja-JP"/>
        </w:rPr>
        <w:t>voltage drops</w:t>
      </w:r>
      <w:r w:rsidR="005E4A79">
        <w:rPr>
          <w:lang w:eastAsia="ja-JP"/>
        </w:rPr>
        <w:t>.</w:t>
      </w:r>
    </w:p>
    <w:p w:rsidR="00A0694C" w:rsidRDefault="00782768" w:rsidP="00413243">
      <w:pPr>
        <w:rPr>
          <w:lang w:eastAsia="ja-JP"/>
        </w:rPr>
      </w:pPr>
      <w:r>
        <w:rPr>
          <w:lang w:eastAsia="ja-JP"/>
        </w:rPr>
        <w:lastRenderedPageBreak/>
        <w:t>The loop in Figure 1.3.4(a) of the textbook [</w:t>
      </w:r>
      <w:proofErr w:type="spellStart"/>
      <w:r>
        <w:rPr>
          <w:lang w:eastAsia="ja-JP"/>
        </w:rPr>
        <w:t>Zill</w:t>
      </w:r>
      <w:proofErr w:type="spellEnd"/>
      <w:r>
        <w:rPr>
          <w:lang w:eastAsia="ja-JP"/>
        </w:rPr>
        <w:t xml:space="preserve">] is a pictorial representation of an </w:t>
      </w:r>
      <w:r w:rsidRPr="00782768">
        <w:rPr>
          <w:i/>
          <w:lang w:eastAsia="ja-JP"/>
        </w:rPr>
        <w:t>LRC</w:t>
      </w:r>
      <w:r>
        <w:rPr>
          <w:lang w:eastAsia="ja-JP"/>
        </w:rPr>
        <w:t xml:space="preserve"> series circuit. These letters come from the names of the circuit elements arranged around the loop; </w:t>
      </w:r>
      <w:r w:rsidRPr="00782768">
        <w:rPr>
          <w:i/>
          <w:lang w:eastAsia="ja-JP"/>
        </w:rPr>
        <w:t>L</w:t>
      </w:r>
      <w:r w:rsidR="00524598">
        <w:rPr>
          <w:lang w:eastAsia="ja-JP"/>
        </w:rPr>
        <w:t> = </w:t>
      </w:r>
      <w:r w:rsidR="00524598" w:rsidRPr="00524598">
        <w:rPr>
          <w:b/>
          <w:i/>
          <w:lang w:eastAsia="ja-JP"/>
        </w:rPr>
        <w:t>inductor</w:t>
      </w:r>
      <w:r w:rsidR="00524598">
        <w:rPr>
          <w:lang w:eastAsia="ja-JP"/>
        </w:rPr>
        <w:t>,</w:t>
      </w:r>
      <w:r>
        <w:rPr>
          <w:lang w:eastAsia="ja-JP"/>
        </w:rPr>
        <w:t xml:space="preserve"> </w:t>
      </w:r>
      <w:r w:rsidRPr="00782768">
        <w:rPr>
          <w:i/>
          <w:lang w:eastAsia="ja-JP"/>
        </w:rPr>
        <w:t>R</w:t>
      </w:r>
      <w:r w:rsidR="00524598">
        <w:rPr>
          <w:lang w:eastAsia="ja-JP"/>
        </w:rPr>
        <w:t> = </w:t>
      </w:r>
      <w:r w:rsidR="00524598" w:rsidRPr="00524598">
        <w:rPr>
          <w:b/>
          <w:i/>
          <w:lang w:eastAsia="ja-JP"/>
        </w:rPr>
        <w:t>resistor</w:t>
      </w:r>
      <w:r w:rsidR="00524598">
        <w:rPr>
          <w:lang w:eastAsia="ja-JP"/>
        </w:rPr>
        <w:t>,</w:t>
      </w:r>
      <w:r>
        <w:rPr>
          <w:lang w:eastAsia="ja-JP"/>
        </w:rPr>
        <w:t xml:space="preserve"> and </w:t>
      </w:r>
      <w:r w:rsidRPr="00782768">
        <w:rPr>
          <w:i/>
          <w:lang w:eastAsia="ja-JP"/>
        </w:rPr>
        <w:t>C</w:t>
      </w:r>
      <w:r w:rsidR="00524598">
        <w:rPr>
          <w:lang w:eastAsia="ja-JP"/>
        </w:rPr>
        <w:t> = </w:t>
      </w:r>
      <w:r w:rsidRPr="00524598">
        <w:rPr>
          <w:b/>
          <w:i/>
          <w:lang w:eastAsia="ja-JP"/>
        </w:rPr>
        <w:t>capacitor</w:t>
      </w:r>
      <w:r w:rsidR="00524598">
        <w:rPr>
          <w:lang w:eastAsia="ja-JP"/>
        </w:rPr>
        <w:t>.</w:t>
      </w:r>
      <w:r>
        <w:rPr>
          <w:lang w:eastAsia="ja-JP"/>
        </w:rPr>
        <w:t xml:space="preserve"> An additional element (the power supply, labeled “</w:t>
      </w:r>
      <w:r w:rsidRPr="00782768">
        <w:rPr>
          <w:position w:val="-14"/>
          <w:lang w:eastAsia="ja-JP"/>
        </w:rPr>
        <w:object w:dxaOrig="540" w:dyaOrig="400">
          <v:shape id="_x0000_i1041" type="#_x0000_t75" style="width:27pt;height:20.25pt" o:ole="">
            <v:imagedata r:id="rId38" o:title=""/>
          </v:shape>
          <o:OLEObject Type="Embed" ProgID="Equation.DSMT4" ShapeID="_x0000_i1041" DrawAspect="Content" ObjectID="_1577379644" r:id="rId39"/>
        </w:object>
      </w:r>
      <w:r>
        <w:rPr>
          <w:lang w:eastAsia="ja-JP"/>
        </w:rPr>
        <w:t>”) is always assumed to be present in a circuit of any type, so its label “</w:t>
      </w:r>
      <w:r>
        <w:rPr>
          <w:i/>
          <w:lang w:eastAsia="ja-JP"/>
        </w:rPr>
        <w:t>E</w:t>
      </w:r>
      <w:r>
        <w:rPr>
          <w:lang w:eastAsia="ja-JP"/>
        </w:rPr>
        <w:t>” does not appear in the name of this circuit.</w:t>
      </w:r>
    </w:p>
    <w:p w:rsidR="00207071" w:rsidRDefault="00524598" w:rsidP="00413243">
      <w:pPr>
        <w:rPr>
          <w:lang w:eastAsia="ja-JP"/>
        </w:rPr>
      </w:pPr>
      <w:r>
        <w:rPr>
          <w:lang w:eastAsia="ja-JP"/>
        </w:rPr>
        <w:t xml:space="preserve">Each circuit </w:t>
      </w:r>
      <w:r w:rsidR="00782768">
        <w:rPr>
          <w:lang w:eastAsia="ja-JP"/>
        </w:rPr>
        <w:t xml:space="preserve">element is </w:t>
      </w:r>
      <w:r w:rsidR="00AC3CDD">
        <w:rPr>
          <w:lang w:eastAsia="ja-JP"/>
        </w:rPr>
        <w:t xml:space="preserve">also </w:t>
      </w:r>
      <w:r w:rsidR="00782768">
        <w:rPr>
          <w:lang w:eastAsia="ja-JP"/>
        </w:rPr>
        <w:t xml:space="preserve">assigned a </w:t>
      </w:r>
      <w:r>
        <w:rPr>
          <w:lang w:eastAsia="ja-JP"/>
        </w:rPr>
        <w:t xml:space="preserve">positive </w:t>
      </w:r>
      <w:r w:rsidR="00782768">
        <w:rPr>
          <w:lang w:eastAsia="ja-JP"/>
        </w:rPr>
        <w:t>numeric value that describes its electromagnetic behavior in the circuit</w:t>
      </w:r>
      <w:r w:rsidR="00AC3CDD">
        <w:rPr>
          <w:lang w:eastAsia="ja-JP"/>
        </w:rPr>
        <w:t xml:space="preserve">; going back to the San Francisco analogy, </w:t>
      </w:r>
      <w:r w:rsidR="00B64258">
        <w:rPr>
          <w:lang w:eastAsia="ja-JP"/>
        </w:rPr>
        <w:t>each circuit element corresponds to a hill</w:t>
      </w:r>
      <w:r w:rsidR="008778CB">
        <w:rPr>
          <w:lang w:eastAsia="ja-JP"/>
        </w:rPr>
        <w:t xml:space="preserve"> (up or down)</w:t>
      </w:r>
      <w:r w:rsidR="00B64258">
        <w:rPr>
          <w:lang w:eastAsia="ja-JP"/>
        </w:rPr>
        <w:t xml:space="preserve">, and </w:t>
      </w:r>
      <w:r w:rsidR="00AC3CDD">
        <w:rPr>
          <w:lang w:eastAsia="ja-JP"/>
        </w:rPr>
        <w:t xml:space="preserve">you </w:t>
      </w:r>
      <w:r w:rsidR="00B64258">
        <w:rPr>
          <w:lang w:eastAsia="ja-JP"/>
        </w:rPr>
        <w:t>may</w:t>
      </w:r>
      <w:r w:rsidR="00AC3CDD">
        <w:rPr>
          <w:lang w:eastAsia="ja-JP"/>
        </w:rPr>
        <w:t xml:space="preserve"> think of these numbers as describing the steepness (although not the height) of each </w:t>
      </w:r>
      <w:r w:rsidR="00B64258">
        <w:rPr>
          <w:lang w:eastAsia="ja-JP"/>
        </w:rPr>
        <w:t>circuit element’s “</w:t>
      </w:r>
      <w:r w:rsidR="00AC3CDD">
        <w:rPr>
          <w:lang w:eastAsia="ja-JP"/>
        </w:rPr>
        <w:t>hill</w:t>
      </w:r>
      <w:r w:rsidR="00B64258">
        <w:rPr>
          <w:lang w:eastAsia="ja-JP"/>
        </w:rPr>
        <w:t>.”</w:t>
      </w:r>
      <w:r w:rsidR="00A0694C">
        <w:rPr>
          <w:lang w:eastAsia="ja-JP"/>
        </w:rPr>
        <w:t xml:space="preserve"> </w:t>
      </w:r>
      <w:r w:rsidR="00AC3CDD">
        <w:rPr>
          <w:lang w:eastAsia="ja-JP"/>
        </w:rPr>
        <w:t xml:space="preserve">The inductor is a coil of wire (hence the shape of its symbol in the figure) that magnetizes when current passes through it; its </w:t>
      </w:r>
      <w:r w:rsidR="00AC3CDD" w:rsidRPr="0066774A">
        <w:rPr>
          <w:b/>
          <w:i/>
          <w:lang w:eastAsia="ja-JP"/>
        </w:rPr>
        <w:t>inductance</w:t>
      </w:r>
      <w:r w:rsidR="00AC3CDD">
        <w:rPr>
          <w:lang w:eastAsia="ja-JP"/>
        </w:rPr>
        <w:t xml:space="preserve"> </w:t>
      </w:r>
      <w:r w:rsidR="00AC3CDD" w:rsidRPr="00AC3CDD">
        <w:rPr>
          <w:i/>
          <w:lang w:eastAsia="ja-JP"/>
        </w:rPr>
        <w:t>L</w:t>
      </w:r>
      <w:r w:rsidR="00AC3CDD">
        <w:rPr>
          <w:lang w:eastAsia="ja-JP"/>
        </w:rPr>
        <w:t xml:space="preserve"> is a </w:t>
      </w:r>
      <w:r w:rsidR="00C42EED">
        <w:rPr>
          <w:lang w:eastAsia="ja-JP"/>
        </w:rPr>
        <w:t>constant</w:t>
      </w:r>
      <w:r w:rsidR="00AC3CDD">
        <w:rPr>
          <w:lang w:eastAsia="ja-JP"/>
        </w:rPr>
        <w:t xml:space="preserve"> indicating</w:t>
      </w:r>
      <w:r w:rsidR="007739EB">
        <w:rPr>
          <w:lang w:eastAsia="ja-JP"/>
        </w:rPr>
        <w:t xml:space="preserve"> </w:t>
      </w:r>
      <w:r w:rsidR="00AC3CDD">
        <w:rPr>
          <w:lang w:eastAsia="ja-JP"/>
        </w:rPr>
        <w:t xml:space="preserve">how strong the magnetic field is for a given </w:t>
      </w:r>
      <w:r w:rsidR="007739EB">
        <w:rPr>
          <w:lang w:eastAsia="ja-JP"/>
        </w:rPr>
        <w:t>level</w:t>
      </w:r>
      <w:r w:rsidR="00AC3CDD">
        <w:rPr>
          <w:lang w:eastAsia="ja-JP"/>
        </w:rPr>
        <w:t xml:space="preserve"> of current. The resistor’s purpose is to restrict the amount of current i</w:t>
      </w:r>
      <w:r w:rsidR="00C93C5C">
        <w:rPr>
          <w:lang w:eastAsia="ja-JP"/>
        </w:rPr>
        <w:t>n the circuit (the resistor may get</w:t>
      </w:r>
      <w:r w:rsidR="00AC3CDD">
        <w:rPr>
          <w:lang w:eastAsia="ja-JP"/>
        </w:rPr>
        <w:t xml:space="preserve"> hot so the rest of the circuit doesn’t)</w:t>
      </w:r>
      <w:r w:rsidR="0066774A">
        <w:rPr>
          <w:lang w:eastAsia="ja-JP"/>
        </w:rPr>
        <w:t>; its ability to limit the current</w:t>
      </w:r>
      <w:r w:rsidR="008B4B42">
        <w:rPr>
          <w:lang w:eastAsia="ja-JP"/>
        </w:rPr>
        <w:t xml:space="preserve"> </w:t>
      </w:r>
      <w:r w:rsidR="0066774A">
        <w:rPr>
          <w:lang w:eastAsia="ja-JP"/>
        </w:rPr>
        <w:t xml:space="preserve">is described by the </w:t>
      </w:r>
      <w:r w:rsidR="00C42EED">
        <w:rPr>
          <w:lang w:eastAsia="ja-JP"/>
        </w:rPr>
        <w:t>constant</w:t>
      </w:r>
      <w:r w:rsidR="0066774A">
        <w:rPr>
          <w:lang w:eastAsia="ja-JP"/>
        </w:rPr>
        <w:t xml:space="preserve"> value </w:t>
      </w:r>
      <w:r w:rsidR="0066774A" w:rsidRPr="0066774A">
        <w:rPr>
          <w:i/>
          <w:lang w:eastAsia="ja-JP"/>
        </w:rPr>
        <w:t>R</w:t>
      </w:r>
      <w:r w:rsidR="0066774A">
        <w:rPr>
          <w:lang w:eastAsia="ja-JP"/>
        </w:rPr>
        <w:t xml:space="preserve"> of its </w:t>
      </w:r>
      <w:r w:rsidR="0066774A" w:rsidRPr="0066774A">
        <w:rPr>
          <w:b/>
          <w:i/>
          <w:lang w:eastAsia="ja-JP"/>
        </w:rPr>
        <w:t>resistance</w:t>
      </w:r>
      <w:r w:rsidR="0066774A">
        <w:rPr>
          <w:lang w:eastAsia="ja-JP"/>
        </w:rPr>
        <w:t>. The capacitor provides temporary charge storage</w:t>
      </w:r>
      <w:r w:rsidR="00C93C5C">
        <w:rPr>
          <w:lang w:eastAsia="ja-JP"/>
        </w:rPr>
        <w:t xml:space="preserve"> </w:t>
      </w:r>
      <w:r w:rsidR="00C42EED">
        <w:rPr>
          <w:lang w:eastAsia="ja-JP"/>
        </w:rPr>
        <w:t>(</w:t>
      </w:r>
      <w:r w:rsidR="00C93C5C">
        <w:rPr>
          <w:lang w:eastAsia="ja-JP"/>
        </w:rPr>
        <w:t>a Leyden jar is one type of capacitor</w:t>
      </w:r>
      <w:r w:rsidR="00C42EED">
        <w:rPr>
          <w:lang w:eastAsia="ja-JP"/>
        </w:rPr>
        <w:t>)</w:t>
      </w:r>
      <w:r w:rsidR="00C93C5C">
        <w:rPr>
          <w:lang w:eastAsia="ja-JP"/>
        </w:rPr>
        <w:t>.</w:t>
      </w:r>
      <w:r w:rsidR="0066774A">
        <w:rPr>
          <w:lang w:eastAsia="ja-JP"/>
        </w:rPr>
        <w:t xml:space="preserve"> </w:t>
      </w:r>
      <w:r w:rsidR="00C93C5C">
        <w:rPr>
          <w:lang w:eastAsia="ja-JP"/>
        </w:rPr>
        <w:t>I</w:t>
      </w:r>
      <w:r w:rsidR="0066774A">
        <w:rPr>
          <w:lang w:eastAsia="ja-JP"/>
        </w:rPr>
        <w:t xml:space="preserve">ts </w:t>
      </w:r>
      <w:r w:rsidR="0066774A" w:rsidRPr="0066774A">
        <w:rPr>
          <w:b/>
          <w:i/>
          <w:lang w:eastAsia="ja-JP"/>
        </w:rPr>
        <w:t>capacitance</w:t>
      </w:r>
      <w:r w:rsidR="0066774A">
        <w:rPr>
          <w:lang w:eastAsia="ja-JP"/>
        </w:rPr>
        <w:t xml:space="preserve"> </w:t>
      </w:r>
      <w:r w:rsidR="0066774A" w:rsidRPr="0066774A">
        <w:rPr>
          <w:i/>
          <w:lang w:eastAsia="ja-JP"/>
        </w:rPr>
        <w:t>C</w:t>
      </w:r>
      <w:r w:rsidR="0066774A">
        <w:rPr>
          <w:lang w:eastAsia="ja-JP"/>
        </w:rPr>
        <w:t xml:space="preserve"> is a </w:t>
      </w:r>
      <w:r w:rsidR="00C42EED">
        <w:rPr>
          <w:lang w:eastAsia="ja-JP"/>
        </w:rPr>
        <w:t xml:space="preserve">constant </w:t>
      </w:r>
      <w:r w:rsidR="0066774A">
        <w:rPr>
          <w:lang w:eastAsia="ja-JP"/>
        </w:rPr>
        <w:t>that describes how many coulombs of charge it c</w:t>
      </w:r>
      <w:r w:rsidR="008B4B42">
        <w:rPr>
          <w:lang w:eastAsia="ja-JP"/>
        </w:rPr>
        <w:t>ould</w:t>
      </w:r>
      <w:r w:rsidR="0066774A">
        <w:rPr>
          <w:lang w:eastAsia="ja-JP"/>
        </w:rPr>
        <w:t xml:space="preserve"> store </w:t>
      </w:r>
      <w:r w:rsidR="008B4B42">
        <w:rPr>
          <w:lang w:eastAsia="ja-JP"/>
        </w:rPr>
        <w:t>if it were</w:t>
      </w:r>
      <w:r w:rsidR="0066774A">
        <w:rPr>
          <w:lang w:eastAsia="ja-JP"/>
        </w:rPr>
        <w:t xml:space="preserve"> connected to a 1-volt battery. The power supply </w:t>
      </w:r>
      <w:r w:rsidR="00A0694C">
        <w:rPr>
          <w:lang w:eastAsia="ja-JP"/>
        </w:rPr>
        <w:t xml:space="preserve">or battery </w:t>
      </w:r>
      <w:r w:rsidR="0066774A">
        <w:rPr>
          <w:lang w:eastAsia="ja-JP"/>
        </w:rPr>
        <w:t xml:space="preserve">is characterized by its </w:t>
      </w:r>
      <w:r w:rsidR="0066774A" w:rsidRPr="008B4B42">
        <w:rPr>
          <w:b/>
          <w:i/>
          <w:lang w:eastAsia="ja-JP"/>
        </w:rPr>
        <w:t>electromotive force</w:t>
      </w:r>
      <w:r w:rsidR="0066774A">
        <w:rPr>
          <w:lang w:eastAsia="ja-JP"/>
        </w:rPr>
        <w:t xml:space="preserve"> </w:t>
      </w:r>
      <w:r w:rsidR="0066774A" w:rsidRPr="0066774A">
        <w:rPr>
          <w:i/>
          <w:lang w:eastAsia="ja-JP"/>
        </w:rPr>
        <w:t>E</w:t>
      </w:r>
      <w:r w:rsidR="0066774A">
        <w:rPr>
          <w:lang w:eastAsia="ja-JP"/>
        </w:rPr>
        <w:t xml:space="preserve">, measured in </w:t>
      </w:r>
      <w:r w:rsidR="0066774A" w:rsidRPr="008B4B42">
        <w:rPr>
          <w:b/>
          <w:i/>
          <w:lang w:eastAsia="ja-JP"/>
        </w:rPr>
        <w:t>volts</w:t>
      </w:r>
      <w:r w:rsidR="0066774A">
        <w:rPr>
          <w:lang w:eastAsia="ja-JP"/>
        </w:rPr>
        <w:t>.</w:t>
      </w:r>
      <w:r w:rsidR="00C93C5C">
        <w:rPr>
          <w:lang w:eastAsia="ja-JP"/>
        </w:rPr>
        <w:t xml:space="preserve"> The electromotive </w:t>
      </w:r>
      <w:r w:rsidR="001336B2">
        <w:rPr>
          <w:lang w:eastAsia="ja-JP"/>
        </w:rPr>
        <w:t xml:space="preserve">force </w:t>
      </w:r>
      <w:r w:rsidR="00C93C5C">
        <w:rPr>
          <w:lang w:eastAsia="ja-JP"/>
        </w:rPr>
        <w:t>may be a constant (DC) or variable (AC) function of time.</w:t>
      </w:r>
    </w:p>
    <w:p w:rsidR="005D200A" w:rsidRDefault="005D200A" w:rsidP="00413243">
      <w:pPr>
        <w:rPr>
          <w:lang w:eastAsia="ja-JP"/>
        </w:rPr>
      </w:pPr>
      <w:r>
        <w:rPr>
          <w:lang w:eastAsia="ja-JP"/>
        </w:rPr>
        <w:t>From a physical analysis of the properties of each circuit element</w:t>
      </w:r>
      <w:r w:rsidR="0078569A">
        <w:rPr>
          <w:lang w:eastAsia="ja-JP"/>
        </w:rPr>
        <w:t xml:space="preserve"> (due in large part to the work of Michael Faraday in the nineteenth century)</w:t>
      </w:r>
      <w:r>
        <w:rPr>
          <w:lang w:eastAsia="ja-JP"/>
        </w:rPr>
        <w:t xml:space="preserve">, it is possible to obtain formulas for the voltage drops of each element. </w:t>
      </w:r>
      <w:r w:rsidR="001336B2">
        <w:rPr>
          <w:lang w:eastAsia="ja-JP"/>
        </w:rPr>
        <w:t>Again,</w:t>
      </w:r>
      <w:r w:rsidR="000E1A25">
        <w:rPr>
          <w:lang w:eastAsia="ja-JP"/>
        </w:rPr>
        <w:t xml:space="preserve"> returning to the San Francisco analogy, the voltage drops correspond to the height</w:t>
      </w:r>
      <w:r w:rsidR="001336B2">
        <w:rPr>
          <w:lang w:eastAsia="ja-JP"/>
        </w:rPr>
        <w:t>s</w:t>
      </w:r>
      <w:r w:rsidR="000E1A25">
        <w:rPr>
          <w:lang w:eastAsia="ja-JP"/>
        </w:rPr>
        <w:t xml:space="preserve"> of each energy “hill” in the circuit. </w:t>
      </w:r>
      <w:r>
        <w:rPr>
          <w:lang w:eastAsia="ja-JP"/>
        </w:rPr>
        <w:t>These formulas turn out to be:</w:t>
      </w:r>
    </w:p>
    <w:p w:rsidR="005D200A" w:rsidRDefault="005D200A" w:rsidP="005D200A">
      <w:pPr>
        <w:pStyle w:val="CenteredEquation"/>
        <w:rPr>
          <w:lang w:eastAsia="ja-JP"/>
        </w:rPr>
      </w:pPr>
      <w:r>
        <w:rPr>
          <w:lang w:eastAsia="ja-JP"/>
        </w:rPr>
        <w:t xml:space="preserve">Inductor: </w:t>
      </w:r>
      <w:r w:rsidR="001C4A59" w:rsidRPr="001C4A59">
        <w:rPr>
          <w:position w:val="-28"/>
          <w:lang w:eastAsia="ja-JP"/>
        </w:rPr>
        <w:object w:dxaOrig="2920" w:dyaOrig="700">
          <v:shape id="_x0000_i1042" type="#_x0000_t75" style="width:146.25pt;height:35.25pt" o:ole="">
            <v:imagedata r:id="rId40" o:title=""/>
          </v:shape>
          <o:OLEObject Type="Embed" ProgID="Equation.DSMT4" ShapeID="_x0000_i1042" DrawAspect="Content" ObjectID="_1577379645" r:id="rId41"/>
        </w:object>
      </w:r>
    </w:p>
    <w:p w:rsidR="005D200A" w:rsidRDefault="005D200A" w:rsidP="005D200A">
      <w:pPr>
        <w:pStyle w:val="CenteredEquation"/>
        <w:rPr>
          <w:lang w:eastAsia="ja-JP"/>
        </w:rPr>
      </w:pPr>
      <w:r>
        <w:rPr>
          <w:lang w:eastAsia="ja-JP"/>
        </w:rPr>
        <w:t xml:space="preserve">Resistor: </w:t>
      </w:r>
      <w:r w:rsidR="001C4A59" w:rsidRPr="001C4A59">
        <w:rPr>
          <w:position w:val="-24"/>
          <w:lang w:eastAsia="ja-JP"/>
        </w:rPr>
        <w:object w:dxaOrig="1280" w:dyaOrig="620">
          <v:shape id="_x0000_i1043" type="#_x0000_t75" style="width:63.75pt;height:30.75pt" o:ole="">
            <v:imagedata r:id="rId42" o:title=""/>
          </v:shape>
          <o:OLEObject Type="Embed" ProgID="Equation.DSMT4" ShapeID="_x0000_i1043" DrawAspect="Content" ObjectID="_1577379646" r:id="rId43"/>
        </w:object>
      </w:r>
    </w:p>
    <w:p w:rsidR="005D200A" w:rsidRDefault="005D200A" w:rsidP="005D200A">
      <w:pPr>
        <w:pStyle w:val="CenteredEquation"/>
        <w:rPr>
          <w:lang w:eastAsia="ja-JP"/>
        </w:rPr>
      </w:pPr>
      <w:r>
        <w:rPr>
          <w:lang w:eastAsia="ja-JP"/>
        </w:rPr>
        <w:t xml:space="preserve">Capacitor: </w:t>
      </w:r>
      <w:r w:rsidR="001C4A59" w:rsidRPr="005D200A">
        <w:rPr>
          <w:position w:val="-24"/>
          <w:lang w:eastAsia="ja-JP"/>
        </w:rPr>
        <w:object w:dxaOrig="600" w:dyaOrig="620">
          <v:shape id="_x0000_i1044" type="#_x0000_t75" style="width:30pt;height:30.75pt" o:ole="">
            <v:imagedata r:id="rId44" o:title=""/>
          </v:shape>
          <o:OLEObject Type="Embed" ProgID="Equation.DSMT4" ShapeID="_x0000_i1044" DrawAspect="Content" ObjectID="_1577379647" r:id="rId45"/>
        </w:object>
      </w:r>
    </w:p>
    <w:p w:rsidR="001C4A59" w:rsidRDefault="001C4A59" w:rsidP="005D200A">
      <w:pPr>
        <w:pStyle w:val="CenteredEquation"/>
        <w:rPr>
          <w:lang w:eastAsia="ja-JP"/>
        </w:rPr>
      </w:pPr>
      <w:r>
        <w:rPr>
          <w:lang w:eastAsia="ja-JP"/>
        </w:rPr>
        <w:t xml:space="preserve">Power supply: </w:t>
      </w:r>
      <w:r w:rsidRPr="001C4A59">
        <w:rPr>
          <w:position w:val="-14"/>
          <w:lang w:eastAsia="ja-JP"/>
        </w:rPr>
        <w:object w:dxaOrig="540" w:dyaOrig="400">
          <v:shape id="_x0000_i1045" type="#_x0000_t75" style="width:27pt;height:20.25pt" o:ole="">
            <v:imagedata r:id="rId46" o:title=""/>
          </v:shape>
          <o:OLEObject Type="Embed" ProgID="Equation.DSMT4" ShapeID="_x0000_i1045" DrawAspect="Content" ObjectID="_1577379648" r:id="rId47"/>
        </w:object>
      </w:r>
    </w:p>
    <w:p w:rsidR="0078569A" w:rsidRDefault="001D2272" w:rsidP="0078569A">
      <w:pPr>
        <w:rPr>
          <w:lang w:eastAsia="ja-JP"/>
        </w:rPr>
      </w:pPr>
      <w:r>
        <w:rPr>
          <w:lang w:eastAsia="ja-JP"/>
        </w:rPr>
        <w:t>I</w:t>
      </w:r>
      <w:r w:rsidR="00AD5A2C">
        <w:rPr>
          <w:lang w:eastAsia="ja-JP"/>
        </w:rPr>
        <w:t xml:space="preserve">n the first two formulas above, </w:t>
      </w:r>
      <w:r w:rsidR="00AD5A2C" w:rsidRPr="00AD5A2C">
        <w:rPr>
          <w:i/>
          <w:lang w:eastAsia="ja-JP"/>
        </w:rPr>
        <w:t>i</w:t>
      </w:r>
      <w:r w:rsidR="00AD5A2C">
        <w:rPr>
          <w:lang w:eastAsia="ja-JP"/>
        </w:rPr>
        <w:t xml:space="preserve"> is changed to </w:t>
      </w:r>
      <w:r w:rsidR="00AD5A2C" w:rsidRPr="00AD5A2C">
        <w:rPr>
          <w:position w:val="-24"/>
          <w:lang w:eastAsia="ja-JP"/>
        </w:rPr>
        <w:object w:dxaOrig="360" w:dyaOrig="620">
          <v:shape id="_x0000_i1058" type="#_x0000_t75" style="width:18pt;height:30.75pt" o:ole="">
            <v:imagedata r:id="rId48" o:title=""/>
          </v:shape>
          <o:OLEObject Type="Embed" ProgID="Equation.DSMT4" ShapeID="_x0000_i1058" DrawAspect="Content" ObjectID="_1577379649" r:id="rId49"/>
        </w:object>
      </w:r>
      <w:r w:rsidR="00AD5A2C">
        <w:rPr>
          <w:lang w:eastAsia="ja-JP"/>
        </w:rPr>
        <w:t xml:space="preserve">, </w:t>
      </w:r>
      <w:r>
        <w:rPr>
          <w:lang w:eastAsia="ja-JP"/>
        </w:rPr>
        <w:t xml:space="preserve">as we defined earlier, </w:t>
      </w:r>
      <w:r w:rsidR="00AD5A2C">
        <w:rPr>
          <w:lang w:eastAsia="ja-JP"/>
        </w:rPr>
        <w:t xml:space="preserve">so that there is only one dependent variable in the model rather than two. </w:t>
      </w:r>
      <w:r w:rsidR="0078569A">
        <w:rPr>
          <w:lang w:eastAsia="ja-JP"/>
        </w:rPr>
        <w:t>Because the sum of these voltage drops must be zero, our model suggests that</w:t>
      </w:r>
    </w:p>
    <w:p w:rsidR="00705509" w:rsidRPr="00782768" w:rsidRDefault="00705509" w:rsidP="00705509">
      <w:pPr>
        <w:pStyle w:val="CenteredEquation"/>
        <w:rPr>
          <w:lang w:eastAsia="ja-JP"/>
        </w:rPr>
      </w:pPr>
      <w:r w:rsidRPr="00705509">
        <w:rPr>
          <w:position w:val="-24"/>
          <w:lang w:eastAsia="ja-JP"/>
        </w:rPr>
        <w:object w:dxaOrig="3080" w:dyaOrig="660">
          <v:shape id="_x0000_i1046" type="#_x0000_t75" style="width:153.75pt;height:33pt" o:ole="">
            <v:imagedata r:id="rId50" o:title=""/>
          </v:shape>
          <o:OLEObject Type="Embed" ProgID="Equation.DSMT4" ShapeID="_x0000_i1046" DrawAspect="Content" ObjectID="_1577379650" r:id="rId51"/>
        </w:object>
      </w:r>
      <w:r w:rsidR="005E275E">
        <w:rPr>
          <w:lang w:eastAsia="ja-JP"/>
        </w:rPr>
        <w:t xml:space="preserve">     or     </w:t>
      </w:r>
      <w:r w:rsidRPr="00705509">
        <w:rPr>
          <w:position w:val="-24"/>
          <w:lang w:eastAsia="ja-JP"/>
        </w:rPr>
        <w:object w:dxaOrig="2620" w:dyaOrig="660">
          <v:shape id="_x0000_i1047" type="#_x0000_t75" style="width:131.25pt;height:33pt" o:ole="">
            <v:imagedata r:id="rId52" o:title=""/>
          </v:shape>
          <o:OLEObject Type="Embed" ProgID="Equation.DSMT4" ShapeID="_x0000_i1047" DrawAspect="Content" ObjectID="_1577379651" r:id="rId53"/>
        </w:object>
      </w:r>
    </w:p>
    <w:p w:rsidR="006F55F4" w:rsidRDefault="00705509" w:rsidP="00413243">
      <w:pPr>
        <w:rPr>
          <w:lang w:eastAsia="ja-JP"/>
        </w:rPr>
      </w:pPr>
      <w:r>
        <w:rPr>
          <w:lang w:eastAsia="ja-JP"/>
        </w:rPr>
        <w:lastRenderedPageBreak/>
        <w:t>One last note</w:t>
      </w:r>
      <w:r w:rsidR="00CA72C2">
        <w:rPr>
          <w:lang w:eastAsia="ja-JP"/>
        </w:rPr>
        <w:t xml:space="preserve"> on circuits</w:t>
      </w:r>
      <w:r>
        <w:rPr>
          <w:lang w:eastAsia="ja-JP"/>
        </w:rPr>
        <w:t xml:space="preserve"> (for the </w:t>
      </w:r>
      <w:r w:rsidR="00CA72C2">
        <w:rPr>
          <w:lang w:eastAsia="ja-JP"/>
        </w:rPr>
        <w:t xml:space="preserve">related </w:t>
      </w:r>
      <w:r>
        <w:rPr>
          <w:lang w:eastAsia="ja-JP"/>
        </w:rPr>
        <w:t>homework problems): I</w:t>
      </w:r>
      <w:r w:rsidR="000A15F4">
        <w:rPr>
          <w:lang w:eastAsia="ja-JP"/>
        </w:rPr>
        <w:t xml:space="preserve">f </w:t>
      </w:r>
      <w:r w:rsidR="004813CE">
        <w:rPr>
          <w:lang w:eastAsia="ja-JP"/>
        </w:rPr>
        <w:t>the inductor is removed from the</w:t>
      </w:r>
      <w:r w:rsidR="000A15F4">
        <w:rPr>
          <w:lang w:eastAsia="ja-JP"/>
        </w:rPr>
        <w:t xml:space="preserve"> circuit</w:t>
      </w:r>
      <w:r w:rsidR="004813CE">
        <w:rPr>
          <w:lang w:eastAsia="ja-JP"/>
        </w:rPr>
        <w:t>, the value of</w:t>
      </w:r>
      <w:r w:rsidR="000A15F4">
        <w:rPr>
          <w:lang w:eastAsia="ja-JP"/>
        </w:rPr>
        <w:t xml:space="preserve"> </w:t>
      </w:r>
      <w:r w:rsidR="000A15F4" w:rsidRPr="000A15F4">
        <w:rPr>
          <w:i/>
          <w:lang w:eastAsia="ja-JP"/>
        </w:rPr>
        <w:t>L</w:t>
      </w:r>
      <w:r w:rsidR="004813CE">
        <w:rPr>
          <w:lang w:eastAsia="ja-JP"/>
        </w:rPr>
        <w:t xml:space="preserve"> goe</w:t>
      </w:r>
      <w:r w:rsidR="000A15F4">
        <w:rPr>
          <w:lang w:eastAsia="ja-JP"/>
        </w:rPr>
        <w:t xml:space="preserve">s </w:t>
      </w:r>
      <w:r w:rsidR="004813CE">
        <w:rPr>
          <w:lang w:eastAsia="ja-JP"/>
        </w:rPr>
        <w:t xml:space="preserve">to </w:t>
      </w:r>
      <w:r w:rsidR="005106C5">
        <w:rPr>
          <w:lang w:eastAsia="ja-JP"/>
        </w:rPr>
        <w:t xml:space="preserve">approximately </w:t>
      </w:r>
      <w:r w:rsidR="000A15F4">
        <w:rPr>
          <w:lang w:eastAsia="ja-JP"/>
        </w:rPr>
        <w:t>zero</w:t>
      </w:r>
      <w:r w:rsidR="004813CE">
        <w:rPr>
          <w:lang w:eastAsia="ja-JP"/>
        </w:rPr>
        <w:t xml:space="preserve"> (assuming the loose ends of the wires are reconnected)</w:t>
      </w:r>
      <w:r w:rsidR="000A15F4">
        <w:rPr>
          <w:lang w:eastAsia="ja-JP"/>
        </w:rPr>
        <w:t xml:space="preserve">. If </w:t>
      </w:r>
      <w:r w:rsidR="004813CE">
        <w:rPr>
          <w:lang w:eastAsia="ja-JP"/>
        </w:rPr>
        <w:t xml:space="preserve">the </w:t>
      </w:r>
      <w:r w:rsidR="000A15F4">
        <w:rPr>
          <w:lang w:eastAsia="ja-JP"/>
        </w:rPr>
        <w:t>resistor</w:t>
      </w:r>
      <w:r w:rsidR="004813CE">
        <w:rPr>
          <w:lang w:eastAsia="ja-JP"/>
        </w:rPr>
        <w:t xml:space="preserve"> is removed</w:t>
      </w:r>
      <w:r w:rsidR="000A15F4">
        <w:rPr>
          <w:lang w:eastAsia="ja-JP"/>
        </w:rPr>
        <w:t xml:space="preserve">, the value of </w:t>
      </w:r>
      <w:r w:rsidR="000A15F4" w:rsidRPr="000A15F4">
        <w:rPr>
          <w:i/>
          <w:lang w:eastAsia="ja-JP"/>
        </w:rPr>
        <w:t>R</w:t>
      </w:r>
      <w:r w:rsidR="000A15F4">
        <w:rPr>
          <w:lang w:eastAsia="ja-JP"/>
        </w:rPr>
        <w:t xml:space="preserve"> is </w:t>
      </w:r>
      <w:r w:rsidR="004813CE">
        <w:rPr>
          <w:lang w:eastAsia="ja-JP"/>
        </w:rPr>
        <w:t xml:space="preserve">also </w:t>
      </w:r>
      <w:r w:rsidR="005106C5">
        <w:rPr>
          <w:lang w:eastAsia="ja-JP"/>
        </w:rPr>
        <w:t xml:space="preserve">approximately </w:t>
      </w:r>
      <w:r w:rsidR="000A15F4">
        <w:rPr>
          <w:lang w:eastAsia="ja-JP"/>
        </w:rPr>
        <w:t xml:space="preserve">zero. However, if </w:t>
      </w:r>
      <w:r w:rsidR="004813CE">
        <w:rPr>
          <w:lang w:eastAsia="ja-JP"/>
        </w:rPr>
        <w:t xml:space="preserve">the capacitor is removed, </w:t>
      </w:r>
      <w:r w:rsidR="000A15F4">
        <w:rPr>
          <w:lang w:eastAsia="ja-JP"/>
        </w:rPr>
        <w:t xml:space="preserve">the value of </w:t>
      </w:r>
      <w:r w:rsidR="000A15F4" w:rsidRPr="000A15F4">
        <w:rPr>
          <w:i/>
          <w:lang w:eastAsia="ja-JP"/>
        </w:rPr>
        <w:t>C</w:t>
      </w:r>
      <w:r w:rsidR="005106C5">
        <w:rPr>
          <w:lang w:eastAsia="ja-JP"/>
        </w:rPr>
        <w:t xml:space="preserve"> approaches infinity</w:t>
      </w:r>
      <w:r w:rsidR="000A15F4">
        <w:rPr>
          <w:lang w:eastAsia="ja-JP"/>
        </w:rPr>
        <w:t xml:space="preserve">. This oddity results because </w:t>
      </w:r>
      <w:r w:rsidR="004813CE">
        <w:rPr>
          <w:lang w:eastAsia="ja-JP"/>
        </w:rPr>
        <w:t xml:space="preserve">the </w:t>
      </w:r>
      <w:r w:rsidR="007739EB">
        <w:rPr>
          <w:lang w:eastAsia="ja-JP"/>
        </w:rPr>
        <w:t xml:space="preserve">capacitance </w:t>
      </w:r>
      <w:r w:rsidR="00A63A38" w:rsidRPr="00A63A38">
        <w:rPr>
          <w:i/>
          <w:lang w:eastAsia="ja-JP"/>
        </w:rPr>
        <w:t>C</w:t>
      </w:r>
      <w:r w:rsidR="00A63A38">
        <w:rPr>
          <w:lang w:eastAsia="ja-JP"/>
        </w:rPr>
        <w:t xml:space="preserve"> </w:t>
      </w:r>
      <w:r w:rsidR="007739EB">
        <w:rPr>
          <w:lang w:eastAsia="ja-JP"/>
        </w:rPr>
        <w:t xml:space="preserve">is proportional to the amount of charge </w:t>
      </w:r>
      <w:r w:rsidR="007C26DD">
        <w:rPr>
          <w:lang w:eastAsia="ja-JP"/>
        </w:rPr>
        <w:t>a DC</w:t>
      </w:r>
      <w:r w:rsidR="007739EB">
        <w:rPr>
          <w:lang w:eastAsia="ja-JP"/>
        </w:rPr>
        <w:t xml:space="preserve"> power supply can </w:t>
      </w:r>
      <w:r w:rsidR="007C26DD">
        <w:rPr>
          <w:lang w:eastAsia="ja-JP"/>
        </w:rPr>
        <w:t xml:space="preserve">pump into the circuit </w:t>
      </w:r>
      <w:r w:rsidR="007739EB">
        <w:rPr>
          <w:lang w:eastAsia="ja-JP"/>
        </w:rPr>
        <w:t>before it fills the storage capacity of the capacitor. With the capacitor gone, there is no restriction as to how much charge the power supply can pump out</w:t>
      </w:r>
      <w:r w:rsidR="002B6A9A">
        <w:rPr>
          <w:lang w:eastAsia="ja-JP"/>
        </w:rPr>
        <w:t xml:space="preserve"> (the charge </w:t>
      </w:r>
      <w:r w:rsidR="00DD5F0C">
        <w:rPr>
          <w:lang w:eastAsia="ja-JP"/>
        </w:rPr>
        <w:t xml:space="preserve">just </w:t>
      </w:r>
      <w:r w:rsidR="002B6A9A">
        <w:rPr>
          <w:lang w:eastAsia="ja-JP"/>
        </w:rPr>
        <w:t>circulates around the circuit</w:t>
      </w:r>
      <w:r w:rsidR="007C26DD">
        <w:rPr>
          <w:lang w:eastAsia="ja-JP"/>
        </w:rPr>
        <w:t xml:space="preserve"> indefinitely</w:t>
      </w:r>
      <w:r w:rsidR="00A63A38">
        <w:rPr>
          <w:lang w:eastAsia="ja-JP"/>
        </w:rPr>
        <w:t xml:space="preserve"> through the remaining inductor and/or resistor</w:t>
      </w:r>
      <w:r w:rsidR="002B6A9A">
        <w:rPr>
          <w:lang w:eastAsia="ja-JP"/>
        </w:rPr>
        <w:t>)</w:t>
      </w:r>
      <w:r w:rsidR="007739EB">
        <w:rPr>
          <w:lang w:eastAsia="ja-JP"/>
        </w:rPr>
        <w:t>, so the effective capacitance goes to infinity.</w:t>
      </w:r>
    </w:p>
    <w:p w:rsidR="007C26DD" w:rsidRPr="00E054E0" w:rsidRDefault="00AC7752" w:rsidP="00413243">
      <w:pPr>
        <w:rPr>
          <w:lang w:eastAsia="ja-JP"/>
        </w:rPr>
      </w:pPr>
      <w:r>
        <w:rPr>
          <w:lang w:eastAsia="ja-JP"/>
        </w:rPr>
        <w:t xml:space="preserve">Please read about </w:t>
      </w:r>
      <w:r w:rsidR="00E175D4">
        <w:rPr>
          <w:lang w:eastAsia="ja-JP"/>
        </w:rPr>
        <w:t>the other models describe in this section of the textbook to give you an idea of the broad range of systems and phenomena to which differential equations may be applied</w:t>
      </w:r>
      <w:r w:rsidR="004A781B">
        <w:rPr>
          <w:lang w:eastAsia="ja-JP"/>
        </w:rPr>
        <w:t>, and note that they focus on developing the corresponding differential equations, but not (yet) solving them</w:t>
      </w:r>
      <w:r w:rsidR="00E175D4">
        <w:rPr>
          <w:lang w:eastAsia="ja-JP"/>
        </w:rPr>
        <w:t>.</w:t>
      </w:r>
      <w:r w:rsidR="00A9187B">
        <w:rPr>
          <w:lang w:eastAsia="ja-JP"/>
        </w:rPr>
        <w:t xml:space="preserve"> We will re-encounter some of these </w:t>
      </w:r>
      <w:r w:rsidR="00415EC5">
        <w:rPr>
          <w:lang w:eastAsia="ja-JP"/>
        </w:rPr>
        <w:t xml:space="preserve">situations </w:t>
      </w:r>
      <w:r w:rsidR="00A9187B">
        <w:rPr>
          <w:lang w:eastAsia="ja-JP"/>
        </w:rPr>
        <w:t>later in the course</w:t>
      </w:r>
      <w:r w:rsidR="00415EC5">
        <w:rPr>
          <w:lang w:eastAsia="ja-JP"/>
        </w:rPr>
        <w:t>, after we learn to solve the corresponding differential equations</w:t>
      </w:r>
      <w:r w:rsidR="004A781B">
        <w:rPr>
          <w:lang w:eastAsia="ja-JP"/>
        </w:rPr>
        <w:t>, and use the solutions to help us characterize the behavior of the systems.</w:t>
      </w:r>
      <w:bookmarkStart w:id="0" w:name="_GoBack"/>
      <w:bookmarkEnd w:id="0"/>
    </w:p>
    <w:sectPr w:rsidR="007C26DD" w:rsidRPr="00E054E0" w:rsidSect="00577FD7">
      <w:footerReference w:type="default" r:id="rId5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6A5" w:rsidRDefault="00D446A5" w:rsidP="001B5A4D">
      <w:pPr>
        <w:spacing w:before="0"/>
      </w:pPr>
      <w:r>
        <w:separator/>
      </w:r>
    </w:p>
  </w:endnote>
  <w:endnote w:type="continuationSeparator" w:id="0">
    <w:p w:rsidR="00D446A5" w:rsidRDefault="00D446A5" w:rsidP="001B5A4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A2C" w:rsidRDefault="00AD5A2C">
    <w:pPr>
      <w:pStyle w:val="Footer"/>
      <w:jc w:val="center"/>
    </w:pPr>
    <w:r>
      <w:t>Page 1.3-</w:t>
    </w:r>
    <w:sdt>
      <w:sdtPr>
        <w:id w:val="19946060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D5F0C">
          <w:rPr>
            <w:noProof/>
          </w:rPr>
          <w:t>6</w:t>
        </w:r>
        <w:r>
          <w:rPr>
            <w:noProof/>
          </w:rPr>
          <w:fldChar w:fldCharType="end"/>
        </w:r>
      </w:sdtContent>
    </w:sdt>
  </w:p>
  <w:p w:rsidR="00AD5A2C" w:rsidRDefault="00AD5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6A5" w:rsidRDefault="00D446A5" w:rsidP="001B5A4D">
      <w:pPr>
        <w:spacing w:before="0"/>
      </w:pPr>
      <w:r>
        <w:separator/>
      </w:r>
    </w:p>
  </w:footnote>
  <w:footnote w:type="continuationSeparator" w:id="0">
    <w:p w:rsidR="00D446A5" w:rsidRDefault="00D446A5" w:rsidP="001B5A4D">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6231"/>
    <w:multiLevelType w:val="multilevel"/>
    <w:tmpl w:val="CFAA6B4A"/>
    <w:lvl w:ilvl="0">
      <w:start w:val="1"/>
      <w:numFmt w:val="lowerLetter"/>
      <w:pStyle w:val="ProblemSubpart"/>
      <w:lvlText w:val="(%1)"/>
      <w:lvlJc w:val="left"/>
      <w:pPr>
        <w:tabs>
          <w:tab w:val="num" w:pos="1080"/>
        </w:tabs>
        <w:ind w:left="900" w:hanging="360"/>
      </w:pPr>
      <w:rPr>
        <w:rFonts w:hint="default"/>
        <w:b/>
        <w:i w:val="0"/>
      </w:rPr>
    </w:lvl>
    <w:lvl w:ilvl="1">
      <w:start w:val="1"/>
      <w:numFmt w:val="lowerRoman"/>
      <w:lvlText w:val="(%2)"/>
      <w:lvlJc w:val="left"/>
      <w:pPr>
        <w:tabs>
          <w:tab w:val="num" w:pos="1800"/>
        </w:tabs>
        <w:ind w:left="1800" w:hanging="72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73875068"/>
    <w:multiLevelType w:val="hybridMultilevel"/>
    <w:tmpl w:val="D8142008"/>
    <w:lvl w:ilvl="0" w:tplc="4008CD4E">
      <w:start w:val="1"/>
      <w:numFmt w:val="decimal"/>
      <w:pStyle w:val="ProblemNumber"/>
      <w:lvlText w:val="%1."/>
      <w:lvlJc w:val="left"/>
      <w:pPr>
        <w:tabs>
          <w:tab w:val="num" w:pos="540"/>
        </w:tabs>
        <w:ind w:left="540" w:hanging="540"/>
      </w:pPr>
      <w:rPr>
        <w:rFonts w:hint="default"/>
        <w:b/>
      </w:rPr>
    </w:lvl>
    <w:lvl w:ilvl="1" w:tplc="7256E414">
      <w:start w:val="1"/>
      <w:numFmt w:val="lowerLetter"/>
      <w:lvlText w:val="(%2)"/>
      <w:lvlJc w:val="left"/>
      <w:pPr>
        <w:tabs>
          <w:tab w:val="num" w:pos="1080"/>
        </w:tabs>
        <w:ind w:left="1080" w:hanging="54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B5"/>
    <w:rsid w:val="0002396E"/>
    <w:rsid w:val="000371D8"/>
    <w:rsid w:val="00057521"/>
    <w:rsid w:val="00090778"/>
    <w:rsid w:val="0009609A"/>
    <w:rsid w:val="000A15F4"/>
    <w:rsid w:val="000A5A64"/>
    <w:rsid w:val="000A7CB9"/>
    <w:rsid w:val="000E11E2"/>
    <w:rsid w:val="000E1558"/>
    <w:rsid w:val="000E1A25"/>
    <w:rsid w:val="000E30C6"/>
    <w:rsid w:val="00114C15"/>
    <w:rsid w:val="001153F5"/>
    <w:rsid w:val="001336B2"/>
    <w:rsid w:val="001437AC"/>
    <w:rsid w:val="0016539F"/>
    <w:rsid w:val="00173EC5"/>
    <w:rsid w:val="001800CE"/>
    <w:rsid w:val="00197420"/>
    <w:rsid w:val="001A7EF3"/>
    <w:rsid w:val="001B5A4D"/>
    <w:rsid w:val="001C4A59"/>
    <w:rsid w:val="001D2272"/>
    <w:rsid w:val="001E12A7"/>
    <w:rsid w:val="001E3B3C"/>
    <w:rsid w:val="001E595C"/>
    <w:rsid w:val="001F5A92"/>
    <w:rsid w:val="00207071"/>
    <w:rsid w:val="00237F87"/>
    <w:rsid w:val="00243606"/>
    <w:rsid w:val="00244204"/>
    <w:rsid w:val="00281B81"/>
    <w:rsid w:val="0029143D"/>
    <w:rsid w:val="00292481"/>
    <w:rsid w:val="002B3241"/>
    <w:rsid w:val="002B6A9A"/>
    <w:rsid w:val="002C7597"/>
    <w:rsid w:val="002E1B91"/>
    <w:rsid w:val="002E5644"/>
    <w:rsid w:val="00316695"/>
    <w:rsid w:val="00337EB0"/>
    <w:rsid w:val="00345453"/>
    <w:rsid w:val="003520CD"/>
    <w:rsid w:val="00361D78"/>
    <w:rsid w:val="00362D5B"/>
    <w:rsid w:val="003749A8"/>
    <w:rsid w:val="00380BC7"/>
    <w:rsid w:val="00381E57"/>
    <w:rsid w:val="00382582"/>
    <w:rsid w:val="003B3749"/>
    <w:rsid w:val="003D4FDD"/>
    <w:rsid w:val="003E46C5"/>
    <w:rsid w:val="00413243"/>
    <w:rsid w:val="00415EC5"/>
    <w:rsid w:val="004353DB"/>
    <w:rsid w:val="00463FFF"/>
    <w:rsid w:val="00480066"/>
    <w:rsid w:val="004813CE"/>
    <w:rsid w:val="00491635"/>
    <w:rsid w:val="00494782"/>
    <w:rsid w:val="004957F2"/>
    <w:rsid w:val="004965B9"/>
    <w:rsid w:val="004A781B"/>
    <w:rsid w:val="00501A2E"/>
    <w:rsid w:val="005106C5"/>
    <w:rsid w:val="005111A6"/>
    <w:rsid w:val="00522B9B"/>
    <w:rsid w:val="00524167"/>
    <w:rsid w:val="00524598"/>
    <w:rsid w:val="00524B29"/>
    <w:rsid w:val="00525138"/>
    <w:rsid w:val="00532551"/>
    <w:rsid w:val="005356A4"/>
    <w:rsid w:val="00542CF9"/>
    <w:rsid w:val="0054315C"/>
    <w:rsid w:val="00547A21"/>
    <w:rsid w:val="00561365"/>
    <w:rsid w:val="005644E3"/>
    <w:rsid w:val="00577FD7"/>
    <w:rsid w:val="00593843"/>
    <w:rsid w:val="00597BC4"/>
    <w:rsid w:val="005B715A"/>
    <w:rsid w:val="005D200A"/>
    <w:rsid w:val="005E275E"/>
    <w:rsid w:val="005E4A79"/>
    <w:rsid w:val="005F2B17"/>
    <w:rsid w:val="00607C3D"/>
    <w:rsid w:val="006228BE"/>
    <w:rsid w:val="00625449"/>
    <w:rsid w:val="00655DFC"/>
    <w:rsid w:val="0066774A"/>
    <w:rsid w:val="00687294"/>
    <w:rsid w:val="0069000E"/>
    <w:rsid w:val="00695C74"/>
    <w:rsid w:val="006B37B2"/>
    <w:rsid w:val="006C2CBB"/>
    <w:rsid w:val="006C6A48"/>
    <w:rsid w:val="006C7A06"/>
    <w:rsid w:val="006D5AAA"/>
    <w:rsid w:val="006F55F4"/>
    <w:rsid w:val="00704937"/>
    <w:rsid w:val="00705509"/>
    <w:rsid w:val="00706265"/>
    <w:rsid w:val="00714787"/>
    <w:rsid w:val="007211EF"/>
    <w:rsid w:val="0073450C"/>
    <w:rsid w:val="0073624B"/>
    <w:rsid w:val="007402EB"/>
    <w:rsid w:val="00765CA1"/>
    <w:rsid w:val="007739EB"/>
    <w:rsid w:val="00782768"/>
    <w:rsid w:val="00783064"/>
    <w:rsid w:val="0078569A"/>
    <w:rsid w:val="00786100"/>
    <w:rsid w:val="007907B1"/>
    <w:rsid w:val="00792280"/>
    <w:rsid w:val="00793C68"/>
    <w:rsid w:val="007A156D"/>
    <w:rsid w:val="007C26DD"/>
    <w:rsid w:val="007C61C5"/>
    <w:rsid w:val="007E4C61"/>
    <w:rsid w:val="008234FE"/>
    <w:rsid w:val="00832D1E"/>
    <w:rsid w:val="008409CC"/>
    <w:rsid w:val="00845841"/>
    <w:rsid w:val="008616DD"/>
    <w:rsid w:val="008778CB"/>
    <w:rsid w:val="008B4B42"/>
    <w:rsid w:val="008D4C72"/>
    <w:rsid w:val="008E772B"/>
    <w:rsid w:val="008F3DC8"/>
    <w:rsid w:val="00911602"/>
    <w:rsid w:val="00911F92"/>
    <w:rsid w:val="00913BD6"/>
    <w:rsid w:val="009317C3"/>
    <w:rsid w:val="009436F6"/>
    <w:rsid w:val="009573D4"/>
    <w:rsid w:val="00960638"/>
    <w:rsid w:val="00983FF3"/>
    <w:rsid w:val="009C7201"/>
    <w:rsid w:val="00A0694C"/>
    <w:rsid w:val="00A10BB3"/>
    <w:rsid w:val="00A26B8D"/>
    <w:rsid w:val="00A55B17"/>
    <w:rsid w:val="00A63A38"/>
    <w:rsid w:val="00A6562B"/>
    <w:rsid w:val="00A65FCC"/>
    <w:rsid w:val="00A6642D"/>
    <w:rsid w:val="00A72888"/>
    <w:rsid w:val="00A74E3B"/>
    <w:rsid w:val="00A909A0"/>
    <w:rsid w:val="00A9187B"/>
    <w:rsid w:val="00AA25CB"/>
    <w:rsid w:val="00AA2D29"/>
    <w:rsid w:val="00AC3CDD"/>
    <w:rsid w:val="00AC7752"/>
    <w:rsid w:val="00AC7928"/>
    <w:rsid w:val="00AD5A2C"/>
    <w:rsid w:val="00AE7CB7"/>
    <w:rsid w:val="00B11609"/>
    <w:rsid w:val="00B21FEF"/>
    <w:rsid w:val="00B279BA"/>
    <w:rsid w:val="00B32450"/>
    <w:rsid w:val="00B367B8"/>
    <w:rsid w:val="00B46E1C"/>
    <w:rsid w:val="00B472D0"/>
    <w:rsid w:val="00B47A4D"/>
    <w:rsid w:val="00B5342C"/>
    <w:rsid w:val="00B64258"/>
    <w:rsid w:val="00B65990"/>
    <w:rsid w:val="00B70B21"/>
    <w:rsid w:val="00BA7B41"/>
    <w:rsid w:val="00BC12D7"/>
    <w:rsid w:val="00BC3FB1"/>
    <w:rsid w:val="00BD4BC5"/>
    <w:rsid w:val="00BD5A43"/>
    <w:rsid w:val="00BE1E1B"/>
    <w:rsid w:val="00BE246E"/>
    <w:rsid w:val="00BF417D"/>
    <w:rsid w:val="00C05C1F"/>
    <w:rsid w:val="00C2170B"/>
    <w:rsid w:val="00C319A8"/>
    <w:rsid w:val="00C40192"/>
    <w:rsid w:val="00C42EED"/>
    <w:rsid w:val="00C44945"/>
    <w:rsid w:val="00C47638"/>
    <w:rsid w:val="00C709C5"/>
    <w:rsid w:val="00C73E92"/>
    <w:rsid w:val="00C91388"/>
    <w:rsid w:val="00C93C5C"/>
    <w:rsid w:val="00CA43A8"/>
    <w:rsid w:val="00CA5AA2"/>
    <w:rsid w:val="00CA72C2"/>
    <w:rsid w:val="00CB2BA1"/>
    <w:rsid w:val="00CD0384"/>
    <w:rsid w:val="00CD1A48"/>
    <w:rsid w:val="00CF35AC"/>
    <w:rsid w:val="00D01D8F"/>
    <w:rsid w:val="00D05589"/>
    <w:rsid w:val="00D15876"/>
    <w:rsid w:val="00D425AA"/>
    <w:rsid w:val="00D446A5"/>
    <w:rsid w:val="00D54904"/>
    <w:rsid w:val="00D54F4A"/>
    <w:rsid w:val="00D55B21"/>
    <w:rsid w:val="00D82C36"/>
    <w:rsid w:val="00D8496E"/>
    <w:rsid w:val="00D94269"/>
    <w:rsid w:val="00D948F1"/>
    <w:rsid w:val="00DD5F0C"/>
    <w:rsid w:val="00DF100B"/>
    <w:rsid w:val="00E054E0"/>
    <w:rsid w:val="00E175D4"/>
    <w:rsid w:val="00E37198"/>
    <w:rsid w:val="00E44545"/>
    <w:rsid w:val="00E60814"/>
    <w:rsid w:val="00E81C62"/>
    <w:rsid w:val="00E873CC"/>
    <w:rsid w:val="00E91A52"/>
    <w:rsid w:val="00E945E4"/>
    <w:rsid w:val="00ED4B2C"/>
    <w:rsid w:val="00EF439F"/>
    <w:rsid w:val="00F105B1"/>
    <w:rsid w:val="00F259D3"/>
    <w:rsid w:val="00F50838"/>
    <w:rsid w:val="00F52F6C"/>
    <w:rsid w:val="00F62120"/>
    <w:rsid w:val="00F670B5"/>
    <w:rsid w:val="00F77ED2"/>
    <w:rsid w:val="00F86C70"/>
    <w:rsid w:val="00FA28DE"/>
    <w:rsid w:val="00FB31D7"/>
    <w:rsid w:val="00FB681F"/>
    <w:rsid w:val="00FE0995"/>
    <w:rsid w:val="00FE3D42"/>
    <w:rsid w:val="00FF0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9D76F"/>
  <w15:chartTrackingRefBased/>
  <w15:docId w15:val="{E66B8FA3-1B71-477D-B414-F9307A548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FDD"/>
    <w:pPr>
      <w:spacing w:before="240" w:after="0" w:line="240" w:lineRule="auto"/>
    </w:pPr>
    <w:rPr>
      <w:rFonts w:ascii="Times New Roman" w:eastAsia="Times New Roman" w:hAnsi="Times New Roman" w:cs="Times New Roman"/>
      <w:sz w:val="28"/>
      <w:szCs w:val="20"/>
      <w:lang w:eastAsia="en-US"/>
    </w:rPr>
  </w:style>
  <w:style w:type="paragraph" w:styleId="Heading1">
    <w:name w:val="heading 1"/>
    <w:basedOn w:val="Normal"/>
    <w:next w:val="Normal"/>
    <w:link w:val="Heading1Char"/>
    <w:uiPriority w:val="9"/>
    <w:qFormat/>
    <w:rsid w:val="00F670B5"/>
    <w:pPr>
      <w:keepNext/>
      <w:keepLines/>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114C15"/>
    <w:pPr>
      <w:keepNext/>
      <w:keepLines/>
      <w:spacing w:after="120"/>
      <w:outlineLvl w:val="1"/>
    </w:pPr>
    <w:rPr>
      <w:rFonts w:asciiTheme="majorHAnsi" w:eastAsia="Times New Roman" w:hAnsiTheme="majorHAnsi"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Equation">
    <w:name w:val="Centered Equation"/>
    <w:basedOn w:val="Normal"/>
    <w:autoRedefine/>
    <w:rsid w:val="003749A8"/>
    <w:pPr>
      <w:spacing w:after="120"/>
      <w:jc w:val="center"/>
    </w:pPr>
  </w:style>
  <w:style w:type="paragraph" w:customStyle="1" w:styleId="NormalIndented">
    <w:name w:val="Normal Indented"/>
    <w:basedOn w:val="Normal"/>
    <w:rsid w:val="00D82C36"/>
    <w:pPr>
      <w:spacing w:after="120"/>
      <w:ind w:left="540"/>
    </w:pPr>
  </w:style>
  <w:style w:type="paragraph" w:customStyle="1" w:styleId="ProblemNumber">
    <w:name w:val="Problem Number"/>
    <w:basedOn w:val="Normal"/>
    <w:rsid w:val="003749A8"/>
    <w:pPr>
      <w:numPr>
        <w:numId w:val="3"/>
      </w:numPr>
      <w:spacing w:after="120"/>
    </w:pPr>
    <w:rPr>
      <w:szCs w:val="24"/>
    </w:rPr>
  </w:style>
  <w:style w:type="paragraph" w:customStyle="1" w:styleId="ProblemSubpart">
    <w:name w:val="Problem Subpart"/>
    <w:basedOn w:val="Normal"/>
    <w:rsid w:val="003749A8"/>
    <w:pPr>
      <w:numPr>
        <w:numId w:val="4"/>
      </w:numPr>
      <w:tabs>
        <w:tab w:val="clear" w:pos="1080"/>
      </w:tabs>
      <w:spacing w:after="120"/>
    </w:pPr>
  </w:style>
  <w:style w:type="table" w:styleId="TableGrid">
    <w:name w:val="Table Grid"/>
    <w:basedOn w:val="TableNormal"/>
    <w:rsid w:val="00D82C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14C15"/>
    <w:pPr>
      <w:contextualSpacing/>
      <w:jc w:val="center"/>
    </w:pPr>
    <w:rPr>
      <w:rFonts w:asciiTheme="majorHAnsi" w:eastAsiaTheme="majorEastAsia" w:hAnsiTheme="majorHAnsi" w:cstheme="majorBidi"/>
      <w:spacing w:val="-10"/>
      <w:kern w:val="28"/>
      <w:sz w:val="48"/>
      <w:szCs w:val="56"/>
      <w:lang w:eastAsia="ja-JP"/>
    </w:rPr>
  </w:style>
  <w:style w:type="character" w:customStyle="1" w:styleId="TitleChar">
    <w:name w:val="Title Char"/>
    <w:basedOn w:val="DefaultParagraphFont"/>
    <w:link w:val="Title"/>
    <w:uiPriority w:val="10"/>
    <w:rsid w:val="00114C15"/>
    <w:rPr>
      <w:rFonts w:asciiTheme="majorHAnsi" w:eastAsiaTheme="majorEastAsia" w:hAnsiTheme="majorHAnsi" w:cstheme="majorBidi"/>
      <w:spacing w:val="-10"/>
      <w:kern w:val="28"/>
      <w:sz w:val="48"/>
      <w:szCs w:val="56"/>
    </w:rPr>
  </w:style>
  <w:style w:type="character" w:customStyle="1" w:styleId="Heading2Char">
    <w:name w:val="Heading 2 Char"/>
    <w:link w:val="Heading2"/>
    <w:uiPriority w:val="9"/>
    <w:rsid w:val="00114C15"/>
    <w:rPr>
      <w:rFonts w:asciiTheme="majorHAnsi" w:eastAsia="Times New Roman" w:hAnsiTheme="majorHAnsi" w:cs="Times New Roman"/>
      <w:b/>
      <w:color w:val="000000"/>
      <w:sz w:val="24"/>
    </w:rPr>
  </w:style>
  <w:style w:type="character" w:styleId="PageNumber">
    <w:name w:val="page number"/>
    <w:basedOn w:val="DefaultParagraphFont"/>
    <w:rsid w:val="003749A8"/>
  </w:style>
  <w:style w:type="paragraph" w:customStyle="1" w:styleId="Centered">
    <w:name w:val="Centered"/>
    <w:basedOn w:val="Normal"/>
    <w:rsid w:val="003749A8"/>
    <w:pPr>
      <w:snapToGrid w:val="0"/>
      <w:jc w:val="center"/>
    </w:pPr>
  </w:style>
  <w:style w:type="character" w:customStyle="1" w:styleId="Heading1Char">
    <w:name w:val="Heading 1 Char"/>
    <w:basedOn w:val="DefaultParagraphFont"/>
    <w:link w:val="Heading1"/>
    <w:uiPriority w:val="9"/>
    <w:rsid w:val="00F670B5"/>
    <w:rPr>
      <w:rFonts w:asciiTheme="majorHAnsi" w:eastAsiaTheme="majorEastAsia" w:hAnsiTheme="majorHAnsi" w:cstheme="majorBidi"/>
      <w:color w:val="2F5496" w:themeColor="accent1" w:themeShade="BF"/>
      <w:sz w:val="32"/>
      <w:szCs w:val="32"/>
      <w:lang w:eastAsia="en-US"/>
    </w:rPr>
  </w:style>
  <w:style w:type="paragraph" w:styleId="Header">
    <w:name w:val="header"/>
    <w:basedOn w:val="Normal"/>
    <w:link w:val="HeaderChar"/>
    <w:uiPriority w:val="99"/>
    <w:unhideWhenUsed/>
    <w:rsid w:val="001B5A4D"/>
    <w:pPr>
      <w:tabs>
        <w:tab w:val="center" w:pos="4680"/>
        <w:tab w:val="right" w:pos="9360"/>
      </w:tabs>
      <w:spacing w:before="0"/>
    </w:pPr>
  </w:style>
  <w:style w:type="character" w:customStyle="1" w:styleId="HeaderChar">
    <w:name w:val="Header Char"/>
    <w:basedOn w:val="DefaultParagraphFont"/>
    <w:link w:val="Header"/>
    <w:uiPriority w:val="99"/>
    <w:rsid w:val="001B5A4D"/>
    <w:rPr>
      <w:rFonts w:ascii="Times New Roman" w:eastAsia="Times New Roman" w:hAnsi="Times New Roman" w:cs="Times New Roman"/>
      <w:sz w:val="24"/>
      <w:szCs w:val="20"/>
      <w:lang w:eastAsia="en-US"/>
    </w:rPr>
  </w:style>
  <w:style w:type="paragraph" w:styleId="Footer">
    <w:name w:val="footer"/>
    <w:basedOn w:val="Normal"/>
    <w:link w:val="FooterChar"/>
    <w:uiPriority w:val="99"/>
    <w:unhideWhenUsed/>
    <w:rsid w:val="001B5A4D"/>
    <w:pPr>
      <w:tabs>
        <w:tab w:val="center" w:pos="4680"/>
        <w:tab w:val="right" w:pos="9360"/>
      </w:tabs>
      <w:spacing w:before="0"/>
    </w:pPr>
  </w:style>
  <w:style w:type="character" w:customStyle="1" w:styleId="FooterChar">
    <w:name w:val="Footer Char"/>
    <w:basedOn w:val="DefaultParagraphFont"/>
    <w:link w:val="Footer"/>
    <w:uiPriority w:val="99"/>
    <w:rsid w:val="001B5A4D"/>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1.bin"/><Relationship Id="rId50" Type="http://schemas.openxmlformats.org/officeDocument/2006/relationships/image" Target="media/image22.wmf"/><Relationship Id="rId55"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7.wmf"/><Relationship Id="rId29" Type="http://schemas.openxmlformats.org/officeDocument/2006/relationships/oleObject" Target="embeddings/oleObject12.bin"/><Relationship Id="rId41" Type="http://schemas.openxmlformats.org/officeDocument/2006/relationships/oleObject" Target="embeddings/oleObject18.bin"/><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oleObject" Target="embeddings/oleObject20.bin"/><Relationship Id="rId53" Type="http://schemas.openxmlformats.org/officeDocument/2006/relationships/oleObject" Target="embeddings/oleObject24.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2.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19.wmf"/><Relationship Id="rId52" Type="http://schemas.openxmlformats.org/officeDocument/2006/relationships/image" Target="media/image2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1.wmf"/><Relationship Id="rId56"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oleObject" Target="embeddings/oleObject23.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6694</TotalTime>
  <Pages>6</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Bowen</dc:creator>
  <cp:keywords/>
  <dc:description/>
  <cp:lastModifiedBy>Michael Bowen</cp:lastModifiedBy>
  <cp:revision>96</cp:revision>
  <dcterms:created xsi:type="dcterms:W3CDTF">2017-12-30T20:43:00Z</dcterms:created>
  <dcterms:modified xsi:type="dcterms:W3CDTF">2018-01-14T04:07:00Z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